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267" w:rsidRPr="003D6E0D" w:rsidRDefault="00611267" w:rsidP="00062859">
      <w:pPr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Исмоилов Г.Н., </w:t>
      </w:r>
      <w:r w:rsidRPr="00CB260E">
        <w:rPr>
          <w:b/>
          <w:sz w:val="28"/>
          <w:szCs w:val="28"/>
        </w:rPr>
        <w:t>Филатов А.Ю.</w:t>
      </w:r>
    </w:p>
    <w:bookmarkEnd w:id="0"/>
    <w:p w:rsidR="00611267" w:rsidRPr="00CB260E" w:rsidRDefault="00611267" w:rsidP="00062859">
      <w:pPr>
        <w:jc w:val="right"/>
        <w:rPr>
          <w:i/>
          <w:sz w:val="28"/>
          <w:szCs w:val="28"/>
        </w:rPr>
      </w:pPr>
      <w:r w:rsidRPr="00CB260E">
        <w:rPr>
          <w:i/>
          <w:sz w:val="28"/>
          <w:szCs w:val="28"/>
        </w:rPr>
        <w:t>Владивосток, ДВФУ</w:t>
      </w:r>
    </w:p>
    <w:p w:rsidR="00611267" w:rsidRPr="00CB260E" w:rsidRDefault="00611267" w:rsidP="00062859">
      <w:pPr>
        <w:jc w:val="right"/>
        <w:rPr>
          <w:sz w:val="28"/>
          <w:szCs w:val="28"/>
        </w:rPr>
      </w:pPr>
      <w:r w:rsidRPr="001E78CC">
        <w:rPr>
          <w:sz w:val="28"/>
          <w:szCs w:val="28"/>
          <w:lang w:val="en-US"/>
        </w:rPr>
        <w:t>gayratbek</w:t>
      </w:r>
      <w:r w:rsidRPr="001E78CC">
        <w:rPr>
          <w:sz w:val="28"/>
          <w:szCs w:val="28"/>
        </w:rPr>
        <w:t>.</w:t>
      </w:r>
      <w:r w:rsidRPr="001E78CC">
        <w:rPr>
          <w:sz w:val="28"/>
          <w:szCs w:val="28"/>
          <w:lang w:val="en-US"/>
        </w:rPr>
        <w:t>ismoilov</w:t>
      </w:r>
      <w:r w:rsidRPr="001E78CC">
        <w:rPr>
          <w:sz w:val="28"/>
          <w:szCs w:val="28"/>
        </w:rPr>
        <w:t>.</w:t>
      </w:r>
      <w:r w:rsidRPr="001E78CC">
        <w:rPr>
          <w:sz w:val="28"/>
          <w:szCs w:val="28"/>
          <w:lang w:val="en-US"/>
        </w:rPr>
        <w:t>gi</w:t>
      </w:r>
      <w:r w:rsidRPr="001E78CC">
        <w:rPr>
          <w:sz w:val="28"/>
          <w:szCs w:val="28"/>
        </w:rPr>
        <w:t>@</w:t>
      </w:r>
      <w:r w:rsidRPr="001E78CC">
        <w:rPr>
          <w:sz w:val="28"/>
          <w:szCs w:val="28"/>
          <w:lang w:val="en-US"/>
        </w:rPr>
        <w:t>gmail</w:t>
      </w:r>
      <w:r w:rsidRPr="001E78CC">
        <w:rPr>
          <w:sz w:val="28"/>
          <w:szCs w:val="28"/>
        </w:rPr>
        <w:t>.</w:t>
      </w:r>
      <w:r w:rsidRPr="001E78CC">
        <w:rPr>
          <w:sz w:val="28"/>
          <w:szCs w:val="28"/>
          <w:lang w:val="en-US"/>
        </w:rPr>
        <w:t>com</w:t>
      </w:r>
      <w:r w:rsidRPr="003D6E0D">
        <w:rPr>
          <w:sz w:val="28"/>
          <w:szCs w:val="28"/>
        </w:rPr>
        <w:t xml:space="preserve">, </w:t>
      </w:r>
      <w:r w:rsidRPr="00CB260E">
        <w:rPr>
          <w:sz w:val="28"/>
          <w:szCs w:val="28"/>
        </w:rPr>
        <w:t>alexander.filatov@gmail.com</w:t>
      </w:r>
    </w:p>
    <w:p w:rsidR="00611267" w:rsidRPr="000D45E7" w:rsidRDefault="00611267" w:rsidP="00062859">
      <w:pPr>
        <w:ind w:firstLine="709"/>
        <w:jc w:val="both"/>
        <w:rPr>
          <w:sz w:val="28"/>
          <w:szCs w:val="28"/>
        </w:rPr>
      </w:pPr>
    </w:p>
    <w:p w:rsidR="00611267" w:rsidRPr="00611267" w:rsidRDefault="00611267" w:rsidP="0006285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Факторы</w:t>
      </w:r>
      <w:r w:rsidRPr="00611267">
        <w:rPr>
          <w:b/>
          <w:caps/>
          <w:sz w:val="28"/>
          <w:szCs w:val="28"/>
        </w:rPr>
        <w:t xml:space="preserve">, </w:t>
      </w:r>
      <w:r>
        <w:rPr>
          <w:b/>
          <w:caps/>
          <w:sz w:val="28"/>
          <w:szCs w:val="28"/>
        </w:rPr>
        <w:t>влияющие</w:t>
      </w:r>
      <w:r w:rsidRPr="00611267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на</w:t>
      </w:r>
      <w:r w:rsidRPr="00611267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неоднородность</w:t>
      </w:r>
      <w:r w:rsidRPr="00611267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цен</w:t>
      </w:r>
    </w:p>
    <w:p w:rsidR="00611267" w:rsidRPr="000E2883" w:rsidRDefault="00611267" w:rsidP="0006285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 Российских регионах</w:t>
      </w:r>
    </w:p>
    <w:p w:rsidR="00611267" w:rsidRDefault="00611267" w:rsidP="00062859">
      <w:pPr>
        <w:ind w:firstLine="709"/>
        <w:jc w:val="both"/>
        <w:rPr>
          <w:sz w:val="28"/>
          <w:szCs w:val="28"/>
        </w:rPr>
      </w:pPr>
    </w:p>
    <w:p w:rsidR="00062859" w:rsidRPr="00062859" w:rsidRDefault="00062859" w:rsidP="00062859">
      <w:pPr>
        <w:jc w:val="center"/>
        <w:rPr>
          <w:i/>
          <w:szCs w:val="28"/>
        </w:rPr>
      </w:pPr>
      <w:r w:rsidRPr="00062859">
        <w:rPr>
          <w:i/>
          <w:szCs w:val="28"/>
        </w:rPr>
        <w:t>Исследования выполнены при поддержке РФФИ, грант 19-010-00183.</w:t>
      </w:r>
    </w:p>
    <w:p w:rsidR="00062859" w:rsidRPr="000D45E7" w:rsidRDefault="00062859" w:rsidP="00062859">
      <w:pPr>
        <w:ind w:firstLine="709"/>
        <w:jc w:val="both"/>
        <w:rPr>
          <w:sz w:val="28"/>
          <w:szCs w:val="28"/>
        </w:rPr>
      </w:pPr>
    </w:p>
    <w:p w:rsid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Исторически сложилось, что уровень жизни в России существенно разнороден и сильно отличается по регионам. Это связано с историческими особенностями, ресурсной базой и инфраструктурой региона, его природными условиями и условиями для внутренней и внешней торговли, качеством рабочей силы и местной власти, а также многими другими факторами</w:t>
      </w:r>
      <w:r w:rsidR="009A0BB4" w:rsidRPr="009A0BB4">
        <w:rPr>
          <w:sz w:val="28"/>
          <w:szCs w:val="28"/>
        </w:rPr>
        <w:t xml:space="preserve"> [1]</w:t>
      </w:r>
      <w:r w:rsidRPr="00611267">
        <w:rPr>
          <w:sz w:val="28"/>
          <w:szCs w:val="28"/>
        </w:rPr>
        <w:t>. В период перехода от командно-административной к рыночной экономике процесс дивергенции по регионам усилился. В частности, это коснулось региональных цен, значительно отличающихся в разных частях России. Существенный интерес представляет исследование сохранения или смены данных тенденций, а также выявление других факторов, влияющих на средний региональный уровень цен.</w:t>
      </w:r>
    </w:p>
    <w:p w:rsidR="009A0BB4" w:rsidRDefault="009A0BB4" w:rsidP="0006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ключевых факторов, влияющих на цены, является удаленность от экономического центра. Еще с работ </w:t>
      </w:r>
      <w:proofErr w:type="spellStart"/>
      <w:r>
        <w:rPr>
          <w:sz w:val="28"/>
          <w:szCs w:val="28"/>
        </w:rPr>
        <w:t>Маккиндера</w:t>
      </w:r>
      <w:proofErr w:type="spellEnd"/>
      <w:r w:rsidRPr="00772B21">
        <w:rPr>
          <w:sz w:val="28"/>
          <w:szCs w:val="28"/>
        </w:rPr>
        <w:t xml:space="preserve"> </w:t>
      </w:r>
      <w:r w:rsidRPr="002D3831">
        <w:rPr>
          <w:sz w:val="28"/>
          <w:szCs w:val="28"/>
        </w:rPr>
        <w:t>[</w:t>
      </w:r>
      <w:r w:rsidRPr="007F2F18">
        <w:rPr>
          <w:sz w:val="28"/>
          <w:szCs w:val="28"/>
        </w:rPr>
        <w:t>2</w:t>
      </w:r>
      <w:r>
        <w:rPr>
          <w:sz w:val="28"/>
          <w:szCs w:val="28"/>
        </w:rPr>
        <w:t xml:space="preserve">], </w:t>
      </w:r>
      <w:proofErr w:type="spellStart"/>
      <w:r>
        <w:rPr>
          <w:sz w:val="28"/>
          <w:szCs w:val="28"/>
        </w:rPr>
        <w:t>Кристаллера</w:t>
      </w:r>
      <w:proofErr w:type="spellEnd"/>
      <w:r>
        <w:rPr>
          <w:sz w:val="28"/>
          <w:szCs w:val="28"/>
        </w:rPr>
        <w:t xml:space="preserve"> [</w:t>
      </w:r>
      <w:r w:rsidRPr="007F2F18">
        <w:rPr>
          <w:sz w:val="28"/>
          <w:szCs w:val="28"/>
        </w:rPr>
        <w:t>3</w:t>
      </w:r>
      <w:r w:rsidRPr="002F73AD">
        <w:rPr>
          <w:sz w:val="28"/>
          <w:szCs w:val="28"/>
        </w:rPr>
        <w:t>]</w:t>
      </w:r>
      <w:r w:rsidRPr="00481C0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Лёша </w:t>
      </w:r>
      <w:r w:rsidRPr="00292D87">
        <w:rPr>
          <w:sz w:val="28"/>
          <w:szCs w:val="28"/>
        </w:rPr>
        <w:t>[</w:t>
      </w:r>
      <w:r w:rsidRPr="007F2F18">
        <w:rPr>
          <w:sz w:val="28"/>
          <w:szCs w:val="28"/>
        </w:rPr>
        <w:t>4</w:t>
      </w:r>
      <w:r w:rsidRPr="00292D87">
        <w:rPr>
          <w:sz w:val="28"/>
          <w:szCs w:val="28"/>
        </w:rPr>
        <w:t>]</w:t>
      </w:r>
      <w:r>
        <w:rPr>
          <w:sz w:val="28"/>
          <w:szCs w:val="28"/>
        </w:rPr>
        <w:t xml:space="preserve"> была создана модель «центр-периферия», в современном виде реализованная Полом </w:t>
      </w:r>
      <w:proofErr w:type="spellStart"/>
      <w:r w:rsidRPr="00192A7E">
        <w:rPr>
          <w:spacing w:val="-4"/>
          <w:sz w:val="28"/>
          <w:szCs w:val="28"/>
        </w:rPr>
        <w:t>Кругманом</w:t>
      </w:r>
      <w:proofErr w:type="spellEnd"/>
      <w:r w:rsidRPr="00192A7E">
        <w:rPr>
          <w:spacing w:val="-4"/>
          <w:sz w:val="28"/>
          <w:szCs w:val="28"/>
        </w:rPr>
        <w:t xml:space="preserve"> [</w:t>
      </w:r>
      <w:r w:rsidRPr="007F2F18">
        <w:rPr>
          <w:spacing w:val="-4"/>
          <w:sz w:val="28"/>
          <w:szCs w:val="28"/>
        </w:rPr>
        <w:t>5</w:t>
      </w:r>
      <w:r w:rsidRPr="00192A7E">
        <w:rPr>
          <w:spacing w:val="-4"/>
          <w:sz w:val="28"/>
          <w:szCs w:val="28"/>
        </w:rPr>
        <w:t>]. Среди ключевых принципов модели можно выделить</w:t>
      </w:r>
      <w:r>
        <w:rPr>
          <w:sz w:val="28"/>
          <w:szCs w:val="28"/>
        </w:rPr>
        <w:t xml:space="preserve"> </w:t>
      </w:r>
      <w:r w:rsidRPr="00192A7E">
        <w:rPr>
          <w:sz w:val="28"/>
          <w:szCs w:val="28"/>
        </w:rPr>
        <w:t>[</w:t>
      </w:r>
      <w:r w:rsidRPr="007F2F18">
        <w:rPr>
          <w:sz w:val="28"/>
          <w:szCs w:val="28"/>
        </w:rPr>
        <w:t>6</w:t>
      </w:r>
      <w:r w:rsidRPr="00192A7E">
        <w:rPr>
          <w:sz w:val="28"/>
          <w:szCs w:val="28"/>
        </w:rPr>
        <w:t>]</w:t>
      </w:r>
      <w:r>
        <w:rPr>
          <w:sz w:val="28"/>
          <w:szCs w:val="28"/>
        </w:rPr>
        <w:t xml:space="preserve"> то, что к</w:t>
      </w:r>
      <w:r w:rsidRPr="00481C0F">
        <w:rPr>
          <w:sz w:val="28"/>
          <w:szCs w:val="28"/>
        </w:rPr>
        <w:t xml:space="preserve">апиталоемкие процессы сосредотачиваются в </w:t>
      </w:r>
      <w:r>
        <w:rPr>
          <w:sz w:val="28"/>
          <w:szCs w:val="28"/>
        </w:rPr>
        <w:t>центре, а трудоемкие – на периферии, зарплата в центре</w:t>
      </w:r>
      <w:r w:rsidRPr="00481C0F">
        <w:rPr>
          <w:sz w:val="28"/>
          <w:szCs w:val="28"/>
        </w:rPr>
        <w:t xml:space="preserve"> вы</w:t>
      </w:r>
      <w:r>
        <w:rPr>
          <w:sz w:val="28"/>
          <w:szCs w:val="28"/>
        </w:rPr>
        <w:t xml:space="preserve">ше, чем в периферийных регионах, а структура экономики </w:t>
      </w:r>
      <w:r w:rsidRPr="00481C0F">
        <w:rPr>
          <w:sz w:val="28"/>
          <w:szCs w:val="28"/>
        </w:rPr>
        <w:t>более сложная.</w:t>
      </w:r>
      <w:r>
        <w:rPr>
          <w:sz w:val="28"/>
          <w:szCs w:val="28"/>
        </w:rPr>
        <w:t xml:space="preserve"> При этом существенное влияние на экономику оказывает география распределения ресурсов, а также существенные транспортные издержки, усложняющие доставку продукции в удаленные регионы.</w:t>
      </w:r>
    </w:p>
    <w:p w:rsidR="009A0BB4" w:rsidRDefault="009A0BB4" w:rsidP="0006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Влияют на темпы роста цен и множество других региональных факторов. Их можно разделить на 2 </w:t>
      </w:r>
      <w:r w:rsidR="003D3DA6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– факторы, влияющие на совокупный спрос, и факторы, влияющие на совокупное предложение. </w:t>
      </w:r>
      <w:r w:rsidR="003D3DA6">
        <w:rPr>
          <w:sz w:val="28"/>
          <w:szCs w:val="28"/>
        </w:rPr>
        <w:t>В табл.1 представим основные из них и работы, в которых им уделялось особое внимание</w:t>
      </w:r>
      <w:r w:rsidR="005E3A85">
        <w:rPr>
          <w:sz w:val="28"/>
          <w:szCs w:val="28"/>
        </w:rPr>
        <w:t>.</w:t>
      </w:r>
    </w:p>
    <w:p w:rsidR="003D3DA6" w:rsidRPr="00062859" w:rsidRDefault="009A0BB4" w:rsidP="00062859">
      <w:pPr>
        <w:jc w:val="right"/>
        <w:rPr>
          <w:rFonts w:eastAsia="Calibri"/>
          <w:color w:val="000000" w:themeColor="text1"/>
          <w:sz w:val="28"/>
          <w:szCs w:val="28"/>
        </w:rPr>
      </w:pPr>
      <w:r w:rsidRPr="00062859">
        <w:rPr>
          <w:rFonts w:eastAsia="Calibri"/>
          <w:color w:val="000000" w:themeColor="text1"/>
          <w:sz w:val="28"/>
          <w:szCs w:val="28"/>
        </w:rPr>
        <w:t xml:space="preserve">Таблица </w:t>
      </w:r>
      <w:r w:rsidR="003D3DA6" w:rsidRPr="00062859">
        <w:rPr>
          <w:rFonts w:eastAsia="Calibri"/>
          <w:color w:val="000000" w:themeColor="text1"/>
          <w:sz w:val="28"/>
          <w:szCs w:val="28"/>
        </w:rPr>
        <w:t>1</w:t>
      </w:r>
      <w:r w:rsidRPr="00062859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9A0BB4" w:rsidRPr="003D3DA6" w:rsidRDefault="009A0BB4" w:rsidP="00062859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D3DA6">
        <w:rPr>
          <w:rFonts w:eastAsia="Calibri"/>
          <w:color w:val="000000" w:themeColor="text1"/>
          <w:sz w:val="28"/>
          <w:szCs w:val="28"/>
        </w:rPr>
        <w:t>Факторы, объясняющие региональные инфляционные различия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29"/>
      </w:tblGrid>
      <w:tr w:rsidR="009A0BB4" w:rsidRPr="00E86833" w:rsidTr="003D3DA6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B4" w:rsidRPr="00E86833" w:rsidRDefault="009A0BB4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bookmarkStart w:id="1" w:name="_Hlk44614011"/>
            <w:r w:rsidRPr="00E86833">
              <w:rPr>
                <w:color w:val="000000" w:themeColor="text1"/>
                <w:sz w:val="28"/>
                <w:szCs w:val="28"/>
              </w:rPr>
              <w:t>Факторы совокупного спроса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B4" w:rsidRPr="00E86833" w:rsidRDefault="009A0BB4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86833">
              <w:rPr>
                <w:color w:val="000000" w:themeColor="text1"/>
                <w:sz w:val="28"/>
                <w:szCs w:val="28"/>
              </w:rPr>
              <w:t>Факторы совокупного предложения</w:t>
            </w:r>
          </w:p>
        </w:tc>
      </w:tr>
      <w:tr w:rsidR="009A0BB4" w:rsidRPr="003D3DA6" w:rsidTr="003D3DA6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B4" w:rsidRPr="0002749A" w:rsidRDefault="009A0BB4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t xml:space="preserve">Эффект </w:t>
            </w:r>
            <w:proofErr w:type="spellStart"/>
            <w:r w:rsidRPr="0002749A">
              <w:rPr>
                <w:color w:val="000000" w:themeColor="text1"/>
                <w:sz w:val="28"/>
                <w:szCs w:val="28"/>
              </w:rPr>
              <w:t>Балассы-Самуэльсона</w:t>
            </w:r>
            <w:proofErr w:type="spellEnd"/>
            <w:r w:rsidR="0002749A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  <w:p w:rsidR="009A0BB4" w:rsidRPr="0002749A" w:rsidRDefault="0002749A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02749A">
              <w:rPr>
                <w:color w:val="000000" w:themeColor="text1"/>
                <w:sz w:val="28"/>
                <w:szCs w:val="28"/>
                <w:lang w:val="en-US"/>
              </w:rPr>
              <w:t>[7]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, [8]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B4" w:rsidRPr="0002749A" w:rsidRDefault="009A0BB4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t>Структура экономики региона</w:t>
            </w:r>
            <w:r w:rsidR="0002749A" w:rsidRPr="0002749A">
              <w:rPr>
                <w:color w:val="000000" w:themeColor="text1"/>
                <w:sz w:val="28"/>
                <w:szCs w:val="28"/>
              </w:rPr>
              <w:t>:</w:t>
            </w:r>
          </w:p>
          <w:p w:rsidR="009A0BB4" w:rsidRPr="0002749A" w:rsidRDefault="0002749A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t>[9], [10]</w:t>
            </w:r>
          </w:p>
        </w:tc>
      </w:tr>
      <w:tr w:rsidR="009A0BB4" w:rsidRPr="003D3DA6" w:rsidTr="003D3DA6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BB4" w:rsidRPr="0002749A" w:rsidRDefault="009A0BB4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bookmarkStart w:id="2" w:name="_Hlk44614028"/>
            <w:bookmarkEnd w:id="1"/>
            <w:r w:rsidRPr="0002749A">
              <w:rPr>
                <w:color w:val="000000" w:themeColor="text1"/>
                <w:sz w:val="28"/>
                <w:szCs w:val="28"/>
              </w:rPr>
              <w:t>Региональная фискальная политика</w:t>
            </w:r>
          </w:p>
          <w:p w:rsidR="009A0BB4" w:rsidRPr="0002749A" w:rsidRDefault="00512AD6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[8], [11],</w:t>
            </w:r>
            <w:r w:rsidR="00E86833">
              <w:rPr>
                <w:color w:val="000000" w:themeColor="text1"/>
                <w:sz w:val="28"/>
                <w:szCs w:val="28"/>
              </w:rPr>
              <w:t xml:space="preserve"> </w:t>
            </w:r>
            <w:r w:rsidR="00E86833">
              <w:rPr>
                <w:color w:val="000000" w:themeColor="text1"/>
                <w:sz w:val="28"/>
                <w:szCs w:val="28"/>
                <w:lang w:val="en-US"/>
              </w:rPr>
              <w:t>[12]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D6" w:rsidRPr="00E86833" w:rsidRDefault="009A0BB4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t>У</w:t>
            </w:r>
            <w:r w:rsidR="003D3DA6" w:rsidRPr="0002749A">
              <w:rPr>
                <w:color w:val="000000" w:themeColor="text1"/>
                <w:sz w:val="28"/>
                <w:szCs w:val="28"/>
              </w:rPr>
              <w:t>ровень конкуренции</w:t>
            </w:r>
            <w:r w:rsidR="00512AD6" w:rsidRPr="00E86833">
              <w:rPr>
                <w:color w:val="000000" w:themeColor="text1"/>
                <w:sz w:val="28"/>
                <w:szCs w:val="28"/>
              </w:rPr>
              <w:t>:</w:t>
            </w:r>
          </w:p>
          <w:p w:rsidR="009A0BB4" w:rsidRPr="0002749A" w:rsidRDefault="00512AD6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86833">
              <w:rPr>
                <w:color w:val="000000" w:themeColor="text1"/>
                <w:sz w:val="28"/>
                <w:szCs w:val="28"/>
              </w:rPr>
              <w:t>[7]</w:t>
            </w:r>
            <w:r w:rsidR="00E86833" w:rsidRPr="00E86833">
              <w:rPr>
                <w:color w:val="000000" w:themeColor="text1"/>
                <w:sz w:val="28"/>
                <w:szCs w:val="28"/>
              </w:rPr>
              <w:t>,</w:t>
            </w:r>
            <w:r w:rsidR="00E86833">
              <w:rPr>
                <w:color w:val="000000" w:themeColor="text1"/>
                <w:sz w:val="28"/>
                <w:szCs w:val="28"/>
              </w:rPr>
              <w:t xml:space="preserve"> </w:t>
            </w:r>
            <w:r w:rsidR="00E86833" w:rsidRPr="00E86833">
              <w:rPr>
                <w:color w:val="000000" w:themeColor="text1"/>
                <w:sz w:val="28"/>
                <w:szCs w:val="28"/>
              </w:rPr>
              <w:t>[13], [14]</w:t>
            </w:r>
          </w:p>
        </w:tc>
      </w:tr>
      <w:tr w:rsidR="009A0BB4" w:rsidRPr="005E3A85" w:rsidTr="003D3DA6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BB4" w:rsidRPr="0002749A" w:rsidRDefault="009A0BB4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t>Различные фазы делового цикла</w:t>
            </w:r>
          </w:p>
          <w:p w:rsidR="009A0BB4" w:rsidRPr="0002749A" w:rsidRDefault="00512AD6" w:rsidP="0006285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86833">
              <w:rPr>
                <w:color w:val="000000" w:themeColor="text1"/>
                <w:sz w:val="28"/>
                <w:szCs w:val="28"/>
              </w:rPr>
              <w:lastRenderedPageBreak/>
              <w:t>[9], [11]</w:t>
            </w:r>
            <w:r w:rsidR="00E86833" w:rsidRPr="00E86833">
              <w:rPr>
                <w:color w:val="000000" w:themeColor="text1"/>
                <w:sz w:val="28"/>
                <w:szCs w:val="28"/>
              </w:rPr>
              <w:t>, [12], [13]</w:t>
            </w:r>
            <w:r w:rsidR="00E86833">
              <w:rPr>
                <w:color w:val="000000" w:themeColor="text1"/>
                <w:sz w:val="28"/>
                <w:szCs w:val="28"/>
                <w:lang w:val="en-US"/>
              </w:rPr>
              <w:t>, [15]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BB4" w:rsidRDefault="009A0BB4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02749A">
              <w:rPr>
                <w:color w:val="000000" w:themeColor="text1"/>
                <w:sz w:val="28"/>
                <w:szCs w:val="28"/>
              </w:rPr>
              <w:lastRenderedPageBreak/>
              <w:t>Издержки торговли</w:t>
            </w:r>
            <w:r w:rsidR="00E86833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  <w:p w:rsidR="009A0BB4" w:rsidRPr="005E3A85" w:rsidRDefault="00E86833" w:rsidP="0006285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[13]</w:t>
            </w:r>
            <w:r w:rsidR="005E3A85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5E3A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E3A85">
              <w:rPr>
                <w:color w:val="000000" w:themeColor="text1"/>
                <w:sz w:val="28"/>
                <w:szCs w:val="28"/>
                <w:lang w:val="en-US"/>
              </w:rPr>
              <w:t>[16], [17], [18], [19], [20]</w:t>
            </w:r>
          </w:p>
        </w:tc>
      </w:tr>
    </w:tbl>
    <w:bookmarkEnd w:id="2"/>
    <w:p w:rsidR="009A0BB4" w:rsidRPr="005E3A85" w:rsidRDefault="005E3A85" w:rsidP="00062859">
      <w:pPr>
        <w:rPr>
          <w:rFonts w:eastAsia="Calibri"/>
          <w:color w:val="000000" w:themeColor="text1"/>
        </w:rPr>
      </w:pPr>
      <w:r w:rsidRPr="005E3A85">
        <w:rPr>
          <w:rFonts w:eastAsia="Calibri"/>
          <w:color w:val="000000" w:themeColor="text1"/>
        </w:rPr>
        <w:lastRenderedPageBreak/>
        <w:t>Источник: составлено авторами</w:t>
      </w:r>
      <w:r w:rsidR="009A0BB4" w:rsidRPr="005E3A85">
        <w:rPr>
          <w:i/>
          <w:iCs/>
          <w:color w:val="000000" w:themeColor="text1"/>
        </w:rPr>
        <w:t xml:space="preserve"> </w:t>
      </w:r>
    </w:p>
    <w:p w:rsidR="00C34E0C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Статистической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базой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исследования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являлись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помесячные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данные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о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ценах</w:t>
      </w:r>
      <w:r w:rsidR="00C34E0C">
        <w:rPr>
          <w:sz w:val="28"/>
          <w:szCs w:val="28"/>
        </w:rPr>
        <w:t>, а</w:t>
      </w:r>
      <w:r w:rsidR="00C34E0C" w:rsidRPr="00C34E0C">
        <w:rPr>
          <w:sz w:val="28"/>
          <w:szCs w:val="28"/>
        </w:rPr>
        <w:t>ппроксимирова</w:t>
      </w:r>
      <w:r w:rsidR="00C34E0C">
        <w:rPr>
          <w:sz w:val="28"/>
          <w:szCs w:val="28"/>
        </w:rPr>
        <w:t>н</w:t>
      </w:r>
      <w:r w:rsidR="00C34E0C" w:rsidRPr="00C34E0C">
        <w:rPr>
          <w:sz w:val="28"/>
          <w:szCs w:val="28"/>
        </w:rPr>
        <w:t>ны</w:t>
      </w:r>
      <w:r w:rsidR="00C34E0C">
        <w:rPr>
          <w:sz w:val="28"/>
          <w:szCs w:val="28"/>
        </w:rPr>
        <w:t>х</w:t>
      </w:r>
      <w:r w:rsidR="00C34E0C" w:rsidRPr="00C34E0C">
        <w:rPr>
          <w:sz w:val="28"/>
          <w:szCs w:val="28"/>
        </w:rPr>
        <w:t xml:space="preserve"> стоимостью фиксированного набора </w:t>
      </w:r>
      <w:r w:rsidR="00C34E0C">
        <w:rPr>
          <w:sz w:val="28"/>
          <w:szCs w:val="28"/>
        </w:rPr>
        <w:t xml:space="preserve">из 83 </w:t>
      </w:r>
      <w:r w:rsidR="00C34E0C" w:rsidRPr="00C34E0C">
        <w:rPr>
          <w:sz w:val="28"/>
          <w:szCs w:val="28"/>
        </w:rPr>
        <w:t>потребительских товаров и услуг</w:t>
      </w:r>
      <w:r w:rsidR="00C34E0C">
        <w:rPr>
          <w:sz w:val="28"/>
          <w:szCs w:val="28"/>
        </w:rPr>
        <w:t>,</w:t>
      </w:r>
      <w:r w:rsidR="00C34E0C" w:rsidRPr="00611267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и</w:t>
      </w:r>
      <w:r w:rsidRPr="00C34E0C">
        <w:rPr>
          <w:sz w:val="28"/>
          <w:szCs w:val="28"/>
        </w:rPr>
        <w:t xml:space="preserve"> </w:t>
      </w:r>
      <w:r w:rsidR="00C34E0C">
        <w:rPr>
          <w:sz w:val="28"/>
          <w:szCs w:val="28"/>
        </w:rPr>
        <w:t xml:space="preserve">средних </w:t>
      </w:r>
      <w:r w:rsidRPr="00611267">
        <w:rPr>
          <w:sz w:val="28"/>
          <w:szCs w:val="28"/>
        </w:rPr>
        <w:t>зарплатах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в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регионах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за</w:t>
      </w:r>
      <w:r w:rsidRPr="00C34E0C">
        <w:rPr>
          <w:sz w:val="28"/>
          <w:szCs w:val="28"/>
        </w:rPr>
        <w:t xml:space="preserve"> 2002-2019 </w:t>
      </w:r>
      <w:r w:rsidRPr="00611267">
        <w:rPr>
          <w:sz w:val="28"/>
          <w:szCs w:val="28"/>
        </w:rPr>
        <w:t>годы</w:t>
      </w:r>
      <w:r w:rsidRPr="00C34E0C">
        <w:rPr>
          <w:sz w:val="28"/>
          <w:szCs w:val="28"/>
        </w:rPr>
        <w:t xml:space="preserve">, </w:t>
      </w:r>
      <w:r w:rsidRPr="00611267">
        <w:rPr>
          <w:sz w:val="28"/>
          <w:szCs w:val="28"/>
        </w:rPr>
        <w:t>а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также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ряд</w:t>
      </w:r>
      <w:r w:rsidRPr="00C34E0C">
        <w:rPr>
          <w:sz w:val="28"/>
          <w:szCs w:val="28"/>
        </w:rPr>
        <w:t xml:space="preserve"> </w:t>
      </w:r>
      <w:r w:rsidRPr="00611267">
        <w:rPr>
          <w:sz w:val="28"/>
          <w:szCs w:val="28"/>
        </w:rPr>
        <w:t>других показателей, характеризующих удаленность регионов от экономических центров, роль государства в экономике, зависимость от импорта, региональный экономический рост</w:t>
      </w:r>
      <w:r w:rsidR="00C34E0C">
        <w:rPr>
          <w:sz w:val="28"/>
          <w:szCs w:val="28"/>
        </w:rPr>
        <w:t xml:space="preserve"> и т.д.</w:t>
      </w:r>
    </w:p>
    <w:p w:rsidR="00C34E0C" w:rsidRDefault="007C79E1" w:rsidP="0006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Уже первый взгляд демонстрирует неоднородность инфляции по регионам, что демонстрирует рис.1. При этом на самом деле происходящие процессы еще более сложны, что и было показано с использованием эконометрического инструментария.</w:t>
      </w:r>
    </w:p>
    <w:p w:rsidR="00C34E0C" w:rsidRPr="006360C9" w:rsidRDefault="00C34E0C" w:rsidP="00062859">
      <w:pPr>
        <w:jc w:val="center"/>
        <w:rPr>
          <w:color w:val="000000" w:themeColor="text1"/>
        </w:rPr>
      </w:pPr>
      <w:r w:rsidRPr="006360C9">
        <w:rPr>
          <w:noProof/>
          <w:color w:val="000000" w:themeColor="text1"/>
        </w:rPr>
        <w:drawing>
          <wp:inline distT="0" distB="0" distL="0" distR="0" wp14:anchorId="5C5B57C9" wp14:editId="37439A01">
            <wp:extent cx="5940425" cy="3244215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р темп прироста 2000-2020.png"/>
                    <pic:cNvPicPr/>
                  </pic:nvPicPr>
                  <pic:blipFill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4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E0C" w:rsidRPr="007C79E1" w:rsidRDefault="00C34E0C" w:rsidP="00062859">
      <w:pPr>
        <w:jc w:val="center"/>
        <w:rPr>
          <w:color w:val="000000" w:themeColor="text1"/>
          <w:sz w:val="28"/>
          <w:szCs w:val="28"/>
        </w:rPr>
      </w:pPr>
      <w:r w:rsidRPr="00062859">
        <w:rPr>
          <w:b/>
          <w:color w:val="000000" w:themeColor="text1"/>
          <w:sz w:val="28"/>
          <w:szCs w:val="28"/>
        </w:rPr>
        <w:t>Рис</w:t>
      </w:r>
      <w:r w:rsidR="007C79E1" w:rsidRPr="00062859">
        <w:rPr>
          <w:b/>
          <w:color w:val="000000" w:themeColor="text1"/>
          <w:sz w:val="28"/>
          <w:szCs w:val="28"/>
        </w:rPr>
        <w:t>.1.</w:t>
      </w:r>
      <w:r w:rsidRPr="007C79E1">
        <w:rPr>
          <w:color w:val="000000" w:themeColor="text1"/>
          <w:sz w:val="28"/>
          <w:szCs w:val="28"/>
        </w:rPr>
        <w:t xml:space="preserve"> Средн</w:t>
      </w:r>
      <w:r w:rsidR="007C79E1" w:rsidRPr="007C79E1">
        <w:rPr>
          <w:color w:val="000000" w:themeColor="text1"/>
          <w:sz w:val="28"/>
          <w:szCs w:val="28"/>
        </w:rPr>
        <w:t>яя инфляция</w:t>
      </w:r>
      <w:r w:rsidRPr="007C79E1">
        <w:rPr>
          <w:color w:val="000000" w:themeColor="text1"/>
          <w:sz w:val="28"/>
          <w:szCs w:val="28"/>
        </w:rPr>
        <w:t xml:space="preserve"> в регионах России за 200</w:t>
      </w:r>
      <w:r w:rsidR="007C79E1" w:rsidRPr="007C79E1">
        <w:rPr>
          <w:color w:val="000000" w:themeColor="text1"/>
          <w:sz w:val="28"/>
          <w:szCs w:val="28"/>
        </w:rPr>
        <w:t>2</w:t>
      </w:r>
      <w:r w:rsidRPr="007C79E1">
        <w:rPr>
          <w:color w:val="000000" w:themeColor="text1"/>
          <w:sz w:val="28"/>
          <w:szCs w:val="28"/>
        </w:rPr>
        <w:t>–20</w:t>
      </w:r>
      <w:r w:rsidR="007C79E1" w:rsidRPr="007C79E1">
        <w:rPr>
          <w:color w:val="000000" w:themeColor="text1"/>
          <w:sz w:val="28"/>
          <w:szCs w:val="28"/>
        </w:rPr>
        <w:t>19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Исследование продемонстрировало наличие трех периодов с различными, подчас диаметрально противоположными тенденциями. Первый период – период бурного экономического роста, продолжавшийся с 2002 по 2008 годы. Второй период (2009-2014) – период мирового экономического кризиса и восстановления экономики. Наконец, 2015-2019 годы – период кризиса российской экономики, связанного, в том числе, с падением цен на энергоносители, политическим проблемами и экономическими санкциями, а также резким усилением роли государства в экономике. Для этих трех периодов были получены следующие регрессионные модели:</w:t>
      </w:r>
    </w:p>
    <w:p w:rsidR="003942DA" w:rsidRPr="003F2EDA" w:rsidRDefault="003F2EDA" w:rsidP="00062859">
      <w:pPr>
        <w:ind w:firstLine="709"/>
        <w:jc w:val="both"/>
        <w:rPr>
          <w:sz w:val="28"/>
          <w:szCs w:val="28"/>
        </w:rPr>
      </w:pPr>
      <w:r w:rsidRPr="00392909">
        <w:rPr>
          <w:position w:val="-32"/>
          <w:sz w:val="28"/>
          <w:szCs w:val="28"/>
        </w:rPr>
        <w:object w:dxaOrig="93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5pt;height:28.25pt" o:ole="">
            <v:imagedata r:id="rId9" o:title=""/>
          </v:shape>
          <o:OLEObject Type="Embed" ProgID="Equation.3" ShapeID="_x0000_i1025" DrawAspect="Content" ObjectID="_1663244432" r:id="rId10"/>
        </w:object>
      </w:r>
      <w:r w:rsidR="003942DA" w:rsidRPr="003F2EDA">
        <w:rPr>
          <w:sz w:val="28"/>
          <w:szCs w:val="28"/>
        </w:rPr>
        <w:t>,</w:t>
      </w:r>
    </w:p>
    <w:p w:rsidR="007C79E1" w:rsidRPr="003F2EDA" w:rsidRDefault="003F2EDA" w:rsidP="00062859">
      <w:pPr>
        <w:ind w:firstLine="709"/>
        <w:jc w:val="both"/>
        <w:rPr>
          <w:sz w:val="28"/>
          <w:szCs w:val="28"/>
        </w:rPr>
      </w:pPr>
      <w:r w:rsidRPr="00392909">
        <w:rPr>
          <w:position w:val="-32"/>
          <w:sz w:val="28"/>
          <w:szCs w:val="28"/>
        </w:rPr>
        <w:object w:dxaOrig="8620" w:dyaOrig="580">
          <v:shape id="_x0000_i1026" type="#_x0000_t75" style="width:403.75pt;height:28.25pt" o:ole="">
            <v:imagedata r:id="rId11" o:title=""/>
          </v:shape>
          <o:OLEObject Type="Embed" ProgID="Equation.3" ShapeID="_x0000_i1026" DrawAspect="Content" ObjectID="_1663244433" r:id="rId12"/>
        </w:object>
      </w:r>
      <w:r w:rsidRPr="003F2EDA">
        <w:rPr>
          <w:sz w:val="28"/>
          <w:szCs w:val="28"/>
        </w:rPr>
        <w:t>,</w:t>
      </w:r>
    </w:p>
    <w:p w:rsidR="003942DA" w:rsidRPr="003F2EDA" w:rsidRDefault="003942DA" w:rsidP="00062859">
      <w:pPr>
        <w:ind w:firstLine="709"/>
        <w:jc w:val="both"/>
        <w:rPr>
          <w:sz w:val="28"/>
          <w:szCs w:val="28"/>
        </w:rPr>
      </w:pPr>
      <w:r w:rsidRPr="00392909">
        <w:rPr>
          <w:position w:val="-32"/>
          <w:sz w:val="28"/>
          <w:szCs w:val="28"/>
        </w:rPr>
        <w:object w:dxaOrig="8540" w:dyaOrig="580">
          <v:shape id="_x0000_i1027" type="#_x0000_t75" style="width:403.75pt;height:28.25pt" o:ole="">
            <v:imagedata r:id="rId13" o:title=""/>
          </v:shape>
          <o:OLEObject Type="Embed" ProgID="Equation.3" ShapeID="_x0000_i1027" DrawAspect="Content" ObjectID="_1663244434" r:id="rId14"/>
        </w:object>
      </w:r>
      <w:r w:rsidRPr="003F2EDA">
        <w:rPr>
          <w:sz w:val="28"/>
          <w:szCs w:val="28"/>
        </w:rPr>
        <w:t>.</w:t>
      </w:r>
    </w:p>
    <w:p w:rsidR="003F2EDA" w:rsidRDefault="00611267" w:rsidP="00062859">
      <w:pPr>
        <w:jc w:val="both"/>
        <w:rPr>
          <w:sz w:val="28"/>
          <w:szCs w:val="28"/>
        </w:rPr>
      </w:pPr>
      <w:r w:rsidRPr="00611267">
        <w:rPr>
          <w:sz w:val="28"/>
          <w:szCs w:val="28"/>
        </w:rPr>
        <w:t>Здесь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r w:rsidRPr="003F2EDA">
        <w:rPr>
          <w:i/>
          <w:sz w:val="28"/>
          <w:szCs w:val="28"/>
        </w:rPr>
        <w:t>y</w:t>
      </w:r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региональный темп инфляции за соответствующий период,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r w:rsidRPr="003F2EDA">
        <w:rPr>
          <w:i/>
          <w:sz w:val="28"/>
          <w:szCs w:val="28"/>
        </w:rPr>
        <w:t>p</w:t>
      </w:r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–начальный уровень региональных цен,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r w:rsidRPr="003F2EDA">
        <w:rPr>
          <w:i/>
          <w:sz w:val="28"/>
          <w:szCs w:val="28"/>
        </w:rPr>
        <w:t>w</w:t>
      </w:r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начальный уровень региональной зарплаты,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r w:rsidRPr="003F2EDA">
        <w:rPr>
          <w:i/>
          <w:sz w:val="28"/>
          <w:szCs w:val="28"/>
        </w:rPr>
        <w:t>d</w:t>
      </w:r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удаленность региона,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proofErr w:type="spellStart"/>
      <w:r w:rsidRPr="003F2EDA">
        <w:rPr>
          <w:i/>
          <w:sz w:val="28"/>
          <w:szCs w:val="28"/>
        </w:rPr>
        <w:t>grp</w:t>
      </w:r>
      <w:proofErr w:type="spellEnd"/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средний за период темп экономического роста в регионе,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proofErr w:type="spellStart"/>
      <w:r w:rsidRPr="003F2EDA">
        <w:rPr>
          <w:i/>
          <w:sz w:val="28"/>
          <w:szCs w:val="28"/>
        </w:rPr>
        <w:t>imp</w:t>
      </w:r>
      <w:proofErr w:type="spellEnd"/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средняя за период доля регионального</w:t>
      </w:r>
      <w:r w:rsidR="003F2EDA">
        <w:rPr>
          <w:sz w:val="28"/>
          <w:szCs w:val="28"/>
        </w:rPr>
        <w:t xml:space="preserve"> импорта в ВРП,</w:t>
      </w:r>
    </w:p>
    <w:p w:rsidR="003F2EDA" w:rsidRDefault="00611267" w:rsidP="00062859">
      <w:pPr>
        <w:ind w:firstLine="709"/>
        <w:jc w:val="both"/>
        <w:rPr>
          <w:sz w:val="28"/>
          <w:szCs w:val="28"/>
        </w:rPr>
      </w:pPr>
      <w:proofErr w:type="spellStart"/>
      <w:r w:rsidRPr="003F2EDA">
        <w:rPr>
          <w:i/>
          <w:sz w:val="28"/>
          <w:szCs w:val="28"/>
        </w:rPr>
        <w:t>fisc</w:t>
      </w:r>
      <w:proofErr w:type="spellEnd"/>
      <w:r w:rsidR="003F2EDA" w:rsidRPr="003F2EDA">
        <w:rPr>
          <w:i/>
          <w:sz w:val="28"/>
          <w:szCs w:val="28"/>
          <w:vertAlign w:val="subscript"/>
          <w:lang w:val="en-US"/>
        </w:rPr>
        <w:t>i</w:t>
      </w:r>
      <w:r w:rsidRPr="00611267">
        <w:rPr>
          <w:sz w:val="28"/>
          <w:szCs w:val="28"/>
        </w:rPr>
        <w:t xml:space="preserve"> – средняя за период доля расходов консолидир</w:t>
      </w:r>
      <w:r w:rsidR="003F2EDA">
        <w:rPr>
          <w:sz w:val="28"/>
          <w:szCs w:val="28"/>
        </w:rPr>
        <w:t>ованного бюджета региона в ВРП.</w:t>
      </w:r>
    </w:p>
    <w:p w:rsidR="00611267" w:rsidRPr="003F2EDA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Все переменные в модели представлены в отклонениях от среднероссийского уровня.</w:t>
      </w:r>
      <w:r w:rsidR="003F2EDA" w:rsidRPr="003F2EDA">
        <w:rPr>
          <w:sz w:val="28"/>
          <w:szCs w:val="28"/>
        </w:rPr>
        <w:t xml:space="preserve"> </w:t>
      </w:r>
      <w:r w:rsidR="003F2EDA">
        <w:rPr>
          <w:sz w:val="28"/>
          <w:szCs w:val="28"/>
        </w:rPr>
        <w:t>Одной и двумя звездочками обозначены переменные, значимые при уровне значимости 5% и 0,1% соответственно.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Видим, что в течение всего времени наблюдается конвергенция регионов по ценам. При этом остальные факторы в разные моменты действуют по-разному. В период бурного роста (2002-2008), а также после 2014 года в богатые регионах товары дорожали сильнее. А в период мирового экономического кризиса и периода восстановления 2009-2014 эта тенденция становилась незначимой – компании, работающие в более экономически продвинутых регионах, наиболее пострадавших от кризиса, стремились любым способом, в том числе, снижением цен, сохранить спрос, поэтому рост цен замедлялся относительно общероссийского уровня.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Также в период 2002-2008 годов наблюдался опережающий рост цен в наиболее удаленных регионах, далее эта тенденция становится незначимой, а в последние 5 лет она сменяется на противоположную, что, в частности, связано с резким увеличением роли государства, усилением контроля над ценами и другими ограничивающими мерами, что сделало регионы более похожими друг на друга.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Экономический рост положительно коррелирует с более высоким ростом цен только в последнюю пятилетку. Напротив, в период до 2014 год есть положительная связь роста цен с долей импорта, в последние годы она исчезает. Высокая доля государства в экономике за счет стимулирующих фискальных мер приводит к опережающему росту цен – это явно видно в период после 2008 года.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Продемонстрированные выше модели показали, что тенденции типично сменяются достаточно быстро, держатся 5-8 лет и зависят от внешних условий, в частности, от темпов экономического роста. Поэтому на основе имеющихся панельных данных построим единую модель зависимости региональной инфляции от выбранных факторов. На семилетнем горизонте (этого достаточно, чтобы устранить краткосрочные случайные колебания, но в то же время тенденция еще не успевает смениться) модель имеет вид</w:t>
      </w:r>
    </w:p>
    <w:p w:rsidR="003F2EDA" w:rsidRPr="003F2EDA" w:rsidRDefault="00B16075" w:rsidP="00062859">
      <w:pPr>
        <w:ind w:firstLine="709"/>
        <w:jc w:val="both"/>
        <w:rPr>
          <w:sz w:val="28"/>
          <w:szCs w:val="28"/>
        </w:rPr>
      </w:pPr>
      <w:r w:rsidRPr="00392909">
        <w:rPr>
          <w:position w:val="-32"/>
          <w:sz w:val="28"/>
          <w:szCs w:val="28"/>
        </w:rPr>
        <w:object w:dxaOrig="8660" w:dyaOrig="580">
          <v:shape id="_x0000_i1028" type="#_x0000_t75" style="width:409.2pt;height:28.25pt" o:ole="">
            <v:imagedata r:id="rId15" o:title=""/>
          </v:shape>
          <o:OLEObject Type="Embed" ProgID="Equation.3" ShapeID="_x0000_i1028" DrawAspect="Content" ObjectID="_1663244435" r:id="rId16"/>
        </w:object>
      </w:r>
      <w:r w:rsidR="003F2EDA" w:rsidRPr="003F2EDA">
        <w:rPr>
          <w:sz w:val="28"/>
          <w:szCs w:val="28"/>
        </w:rPr>
        <w:t>.</w:t>
      </w:r>
    </w:p>
    <w:p w:rsidR="003F2EDA" w:rsidRPr="003F2EDA" w:rsidRDefault="003F2EDA" w:rsidP="00062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переменные кроме </w:t>
      </w:r>
      <w:r w:rsidR="00B16075">
        <w:rPr>
          <w:sz w:val="28"/>
          <w:szCs w:val="28"/>
        </w:rPr>
        <w:t>регионального экономического роста оказываются здесь значимыми даже при уровне значимости 0,1%.</w:t>
      </w:r>
    </w:p>
    <w:p w:rsidR="00611267" w:rsidRPr="00611267" w:rsidRDefault="00611267" w:rsidP="00062859">
      <w:pPr>
        <w:ind w:firstLine="709"/>
        <w:jc w:val="both"/>
        <w:rPr>
          <w:sz w:val="28"/>
          <w:szCs w:val="28"/>
        </w:rPr>
      </w:pPr>
      <w:r w:rsidRPr="00611267">
        <w:rPr>
          <w:sz w:val="28"/>
          <w:szCs w:val="28"/>
        </w:rPr>
        <w:t>Среди количественных результатов выделим следующие. Если в некотором регионе начальная цена корзины выше на 10%, то там при прочих равных условиях ежегодная инфляция будет ниже на 1% (7,65% за семилетку). Аналогично, рост зарплаты на 10%. приводит к дополнительному росту цен на 1,86% за 7 лет, т.е. порядка 0,25% в год. Удаленность региона приводит к опережающему росту цен, однако сказываться она начинает на значительных расстояниях. Влияние на европейские регионы (включая северный Мурманск и республики Кавказа) практически отсутствует. В регионе, где доля импорта вдвое выше, инфляция за 7 лет будет выше на 2,3% (около 0,3% в год). Если же вдвое растет доля госрасходов, инфляция повышается на 4,4% (около 0,6% в год). Заметим, что несмотря на очень высокую значимость каждого из факторов, количественное влияние их не очень велико. С другой стороны, даже лишние полпроцента ежегодной инфляции могут на горизонте десятилетий существенно повлиять на уровень цен.</w:t>
      </w:r>
    </w:p>
    <w:p w:rsidR="00611267" w:rsidRPr="00B16075" w:rsidRDefault="00611267" w:rsidP="00062859">
      <w:pPr>
        <w:ind w:firstLine="709"/>
        <w:jc w:val="both"/>
        <w:rPr>
          <w:spacing w:val="4"/>
          <w:sz w:val="28"/>
          <w:szCs w:val="28"/>
        </w:rPr>
      </w:pPr>
      <w:r w:rsidRPr="00B16075">
        <w:rPr>
          <w:spacing w:val="4"/>
          <w:sz w:val="28"/>
          <w:szCs w:val="28"/>
        </w:rPr>
        <w:t xml:space="preserve">Построенные в рамках исследования модели могут быть использованы при прогнозировании инфляционных процессов в региональном разрезе. Полученные количественные оценки влияния различных факторов на региональную инфляцию могут помочь в процессе разработки более эффективной фискальной и монетарной политики государства. А анализ </w:t>
      </w:r>
      <w:proofErr w:type="spellStart"/>
      <w:r w:rsidRPr="00B16075">
        <w:rPr>
          <w:spacing w:val="4"/>
          <w:sz w:val="28"/>
          <w:szCs w:val="28"/>
        </w:rPr>
        <w:t>аутлаеров</w:t>
      </w:r>
      <w:proofErr w:type="spellEnd"/>
      <w:r w:rsidRPr="00B16075">
        <w:rPr>
          <w:spacing w:val="4"/>
          <w:sz w:val="28"/>
          <w:szCs w:val="28"/>
        </w:rPr>
        <w:t xml:space="preserve"> позволяет получить независимую оценку уровня конкуренции в регионе.</w:t>
      </w:r>
    </w:p>
    <w:p w:rsidR="00062859" w:rsidRPr="00062859" w:rsidRDefault="00062859" w:rsidP="00062859">
      <w:pPr>
        <w:jc w:val="center"/>
        <w:rPr>
          <w:b/>
          <w:bCs/>
          <w:i/>
          <w:iCs/>
          <w:szCs w:val="28"/>
        </w:rPr>
      </w:pPr>
    </w:p>
    <w:p w:rsidR="00DE5CD3" w:rsidRPr="00062859" w:rsidRDefault="00DE5CD3" w:rsidP="00062859">
      <w:pPr>
        <w:jc w:val="center"/>
        <w:rPr>
          <w:b/>
          <w:bCs/>
          <w:i/>
          <w:iCs/>
          <w:szCs w:val="28"/>
          <w:lang w:val="en-US"/>
        </w:rPr>
      </w:pPr>
      <w:r w:rsidRPr="00062859">
        <w:rPr>
          <w:b/>
          <w:bCs/>
          <w:i/>
          <w:iCs/>
          <w:szCs w:val="28"/>
        </w:rPr>
        <w:t>Список</w:t>
      </w:r>
      <w:r w:rsidRPr="00062859">
        <w:rPr>
          <w:b/>
          <w:bCs/>
          <w:i/>
          <w:iCs/>
          <w:szCs w:val="28"/>
          <w:lang w:val="en-US"/>
        </w:rPr>
        <w:t xml:space="preserve"> </w:t>
      </w:r>
      <w:r w:rsidRPr="00062859">
        <w:rPr>
          <w:b/>
          <w:bCs/>
          <w:i/>
          <w:iCs/>
          <w:szCs w:val="28"/>
        </w:rPr>
        <w:t>использованной</w:t>
      </w:r>
      <w:r w:rsidRPr="00062859">
        <w:rPr>
          <w:b/>
          <w:bCs/>
          <w:i/>
          <w:iCs/>
          <w:szCs w:val="28"/>
          <w:lang w:val="en-US"/>
        </w:rPr>
        <w:t xml:space="preserve"> </w:t>
      </w:r>
      <w:r w:rsidRPr="00062859">
        <w:rPr>
          <w:b/>
          <w:bCs/>
          <w:i/>
          <w:iCs/>
          <w:szCs w:val="28"/>
        </w:rPr>
        <w:t>литературы</w:t>
      </w:r>
      <w:r w:rsidRPr="00062859">
        <w:rPr>
          <w:b/>
          <w:bCs/>
          <w:i/>
          <w:iCs/>
          <w:szCs w:val="28"/>
          <w:lang w:val="en-US"/>
        </w:rPr>
        <w:t>:</w:t>
      </w:r>
    </w:p>
    <w:p w:rsidR="00192A7E" w:rsidRPr="005B3552" w:rsidRDefault="00192A7E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-4"/>
        </w:rPr>
      </w:pPr>
      <w:proofErr w:type="spellStart"/>
      <w:r w:rsidRPr="005B3552">
        <w:rPr>
          <w:iCs/>
        </w:rPr>
        <w:t>Зубаревич</w:t>
      </w:r>
      <w:proofErr w:type="spellEnd"/>
      <w:r w:rsidRPr="005B3552">
        <w:rPr>
          <w:iCs/>
        </w:rPr>
        <w:t xml:space="preserve"> Н.В., Артоболевский С.С., Кузнецова О.В. Регионы России: неравенство, кризис, модернизация. – Независимый институт социальной политики, 2010.</w:t>
      </w:r>
    </w:p>
    <w:p w:rsidR="00757D18" w:rsidRPr="005B3552" w:rsidRDefault="00757D18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-4"/>
          <w:lang w:val="en-US"/>
        </w:rPr>
      </w:pPr>
      <w:r w:rsidRPr="005B3552">
        <w:rPr>
          <w:iCs/>
          <w:spacing w:val="-4"/>
          <w:lang w:val="en-US"/>
        </w:rPr>
        <w:t>Mackinder H. The geographical pivot of history. – Royal Geographical Society, 1904.</w:t>
      </w:r>
    </w:p>
    <w:p w:rsidR="00192A7E" w:rsidRPr="005B3552" w:rsidRDefault="00582E39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5B3552">
        <w:rPr>
          <w:iCs/>
          <w:lang w:val="en-US"/>
        </w:rPr>
        <w:t xml:space="preserve">Christaller W. Die </w:t>
      </w:r>
      <w:proofErr w:type="spellStart"/>
      <w:r w:rsidRPr="005B3552">
        <w:rPr>
          <w:iCs/>
          <w:lang w:val="en-US"/>
        </w:rPr>
        <w:t>zentralen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Orte</w:t>
      </w:r>
      <w:proofErr w:type="spellEnd"/>
      <w:r w:rsidRPr="005B3552">
        <w:rPr>
          <w:iCs/>
          <w:lang w:val="en-US"/>
        </w:rPr>
        <w:t xml:space="preserve"> in </w:t>
      </w:r>
      <w:proofErr w:type="spellStart"/>
      <w:r w:rsidRPr="005B3552">
        <w:rPr>
          <w:iCs/>
          <w:lang w:val="en-US"/>
        </w:rPr>
        <w:t>Süddeutschland</w:t>
      </w:r>
      <w:proofErr w:type="spellEnd"/>
      <w:r w:rsidRPr="005B3552">
        <w:rPr>
          <w:iCs/>
          <w:lang w:val="en-US"/>
        </w:rPr>
        <w:t xml:space="preserve">: </w:t>
      </w:r>
      <w:proofErr w:type="spellStart"/>
      <w:r w:rsidRPr="005B3552">
        <w:rPr>
          <w:iCs/>
          <w:lang w:val="en-US"/>
        </w:rPr>
        <w:t>eine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ökonomisch-geographische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Untersuchung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über</w:t>
      </w:r>
      <w:proofErr w:type="spellEnd"/>
      <w:r w:rsidRPr="005B3552">
        <w:rPr>
          <w:iCs/>
          <w:lang w:val="en-US"/>
        </w:rPr>
        <w:t xml:space="preserve"> die </w:t>
      </w:r>
      <w:proofErr w:type="spellStart"/>
      <w:r w:rsidRPr="005B3552">
        <w:rPr>
          <w:iCs/>
          <w:lang w:val="en-US"/>
        </w:rPr>
        <w:t>Gesetzmässigkeit</w:t>
      </w:r>
      <w:proofErr w:type="spellEnd"/>
      <w:r w:rsidRPr="005B3552">
        <w:rPr>
          <w:iCs/>
          <w:lang w:val="en-US"/>
        </w:rPr>
        <w:t xml:space="preserve"> der </w:t>
      </w:r>
      <w:proofErr w:type="spellStart"/>
      <w:r w:rsidRPr="005B3552">
        <w:rPr>
          <w:iCs/>
          <w:lang w:val="en-US"/>
        </w:rPr>
        <w:t>Verbreitung</w:t>
      </w:r>
      <w:proofErr w:type="spellEnd"/>
      <w:r w:rsidRPr="005B3552">
        <w:rPr>
          <w:iCs/>
          <w:lang w:val="en-US"/>
        </w:rPr>
        <w:t xml:space="preserve"> und </w:t>
      </w:r>
      <w:proofErr w:type="spellStart"/>
      <w:r w:rsidRPr="005B3552">
        <w:rPr>
          <w:iCs/>
          <w:lang w:val="en-US"/>
        </w:rPr>
        <w:t>Entwicklung</w:t>
      </w:r>
      <w:proofErr w:type="spellEnd"/>
      <w:r w:rsidRPr="005B3552">
        <w:rPr>
          <w:iCs/>
          <w:lang w:val="en-US"/>
        </w:rPr>
        <w:t xml:space="preserve"> der </w:t>
      </w:r>
      <w:proofErr w:type="spellStart"/>
      <w:r w:rsidRPr="005B3552">
        <w:rPr>
          <w:iCs/>
          <w:lang w:val="en-US"/>
        </w:rPr>
        <w:t>Siedlungen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mit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städtischen</w:t>
      </w:r>
      <w:proofErr w:type="spellEnd"/>
      <w:r w:rsidRPr="005B3552">
        <w:rPr>
          <w:iCs/>
          <w:lang w:val="en-US"/>
        </w:rPr>
        <w:t xml:space="preserve"> </w:t>
      </w:r>
      <w:proofErr w:type="spellStart"/>
      <w:r w:rsidRPr="005B3552">
        <w:rPr>
          <w:iCs/>
          <w:lang w:val="en-US"/>
        </w:rPr>
        <w:t>Funktionen</w:t>
      </w:r>
      <w:proofErr w:type="spellEnd"/>
      <w:r w:rsidRPr="005B3552">
        <w:rPr>
          <w:iCs/>
          <w:lang w:val="en-US"/>
        </w:rPr>
        <w:t>. – University Microfilms, 1933.</w:t>
      </w:r>
    </w:p>
    <w:p w:rsidR="00757D18" w:rsidRPr="005B3552" w:rsidRDefault="00757D18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5B3552">
        <w:rPr>
          <w:iCs/>
          <w:lang w:val="en-US"/>
        </w:rPr>
        <w:t>Losch</w:t>
      </w:r>
      <w:proofErr w:type="spellEnd"/>
      <w:r w:rsidRPr="005B3552">
        <w:rPr>
          <w:iCs/>
          <w:lang w:val="en-US"/>
        </w:rPr>
        <w:t xml:space="preserve"> A. Economics of location. – 1954.</w:t>
      </w:r>
    </w:p>
    <w:p w:rsidR="00757D18" w:rsidRPr="005B3552" w:rsidRDefault="00757D18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5B3552">
        <w:rPr>
          <w:iCs/>
          <w:lang w:val="en-US"/>
        </w:rPr>
        <w:t>Krugman P. Increasing returns and economic geography // Journal of political economy. – 1991. – Т.99. – №3. – С.483–499.</w:t>
      </w:r>
    </w:p>
    <w:p w:rsidR="00757D18" w:rsidRDefault="00192A7E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5B3552">
        <w:rPr>
          <w:iCs/>
          <w:lang w:val="en-US"/>
        </w:rPr>
        <w:t xml:space="preserve">Combes P., Mayer T., </w:t>
      </w:r>
      <w:proofErr w:type="spellStart"/>
      <w:r w:rsidRPr="005B3552">
        <w:rPr>
          <w:iCs/>
          <w:lang w:val="en-US"/>
        </w:rPr>
        <w:t>Thisse</w:t>
      </w:r>
      <w:proofErr w:type="spellEnd"/>
      <w:r w:rsidRPr="005B3552">
        <w:rPr>
          <w:iCs/>
          <w:lang w:val="en-US"/>
        </w:rPr>
        <w:t xml:space="preserve"> J. Economic geography: the integration of regions and nations. – Princeton University Press, 2008.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02749A">
        <w:rPr>
          <w:iCs/>
          <w:lang w:val="en-US"/>
        </w:rPr>
        <w:t xml:space="preserve">Altissimo F., </w:t>
      </w:r>
      <w:proofErr w:type="spellStart"/>
      <w:r w:rsidRPr="0002749A">
        <w:rPr>
          <w:iCs/>
          <w:lang w:val="en-US"/>
        </w:rPr>
        <w:t>Benigno</w:t>
      </w:r>
      <w:proofErr w:type="spellEnd"/>
      <w:r w:rsidRPr="0002749A">
        <w:rPr>
          <w:iCs/>
          <w:lang w:val="en-US"/>
        </w:rPr>
        <w:t xml:space="preserve"> P., </w:t>
      </w:r>
      <w:proofErr w:type="spellStart"/>
      <w:r w:rsidRPr="0002749A">
        <w:rPr>
          <w:iCs/>
          <w:lang w:val="en-US"/>
        </w:rPr>
        <w:t>Palenzuela</w:t>
      </w:r>
      <w:proofErr w:type="spellEnd"/>
      <w:r w:rsidRPr="0002749A">
        <w:rPr>
          <w:iCs/>
          <w:lang w:val="en-US"/>
        </w:rPr>
        <w:t xml:space="preserve"> D. Long-run determinants of inflation differentials in a monetary union. – National Bureau of Economic Research, 2005. – №11473.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02749A">
        <w:rPr>
          <w:iCs/>
          <w:lang w:val="en-US"/>
        </w:rPr>
        <w:t>Duarte M., Wolman A. Fiscal policy and regional inflation in a currency union //</w:t>
      </w:r>
      <w:r>
        <w:rPr>
          <w:iCs/>
          <w:lang w:val="en-US"/>
        </w:rPr>
        <w:t xml:space="preserve"> </w:t>
      </w:r>
      <w:r w:rsidRPr="0002749A">
        <w:rPr>
          <w:iCs/>
          <w:lang w:val="en-US"/>
        </w:rPr>
        <w:t>Journal of international Economics. – 2008. – Т.74</w:t>
      </w:r>
      <w:r>
        <w:rPr>
          <w:iCs/>
          <w:lang w:val="en-US"/>
        </w:rPr>
        <w:t>(2). – С.</w:t>
      </w:r>
      <w:r w:rsidRPr="0002749A">
        <w:rPr>
          <w:iCs/>
          <w:lang w:val="en-US"/>
        </w:rPr>
        <w:t>384</w:t>
      </w:r>
      <w:r>
        <w:rPr>
          <w:iCs/>
          <w:lang w:val="en-US"/>
        </w:rPr>
        <w:t>–</w:t>
      </w:r>
      <w:r w:rsidRPr="0002749A">
        <w:rPr>
          <w:iCs/>
          <w:lang w:val="en-US"/>
        </w:rPr>
        <w:t>401.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02749A">
        <w:rPr>
          <w:iCs/>
          <w:lang w:val="en-US"/>
        </w:rPr>
        <w:t>Honohan</w:t>
      </w:r>
      <w:proofErr w:type="spellEnd"/>
      <w:r w:rsidRPr="0002749A">
        <w:rPr>
          <w:iCs/>
          <w:lang w:val="en-US"/>
        </w:rPr>
        <w:t xml:space="preserve"> P., Lane P. Divergent inflation rates in EMU //</w:t>
      </w:r>
      <w:r>
        <w:rPr>
          <w:iCs/>
          <w:lang w:val="en-US"/>
        </w:rPr>
        <w:t xml:space="preserve"> Economic Policy. – 2003. – Т.</w:t>
      </w:r>
      <w:r w:rsidRPr="0002749A">
        <w:rPr>
          <w:iCs/>
          <w:lang w:val="en-US"/>
        </w:rPr>
        <w:t>18</w:t>
      </w:r>
      <w:r>
        <w:rPr>
          <w:iCs/>
          <w:lang w:val="en-US"/>
        </w:rPr>
        <w:t>(37)</w:t>
      </w:r>
      <w:r w:rsidRPr="0002749A">
        <w:rPr>
          <w:iCs/>
          <w:lang w:val="en-US"/>
        </w:rPr>
        <w:t>. – С.357</w:t>
      </w:r>
      <w:r>
        <w:rPr>
          <w:iCs/>
          <w:lang w:val="en-US"/>
        </w:rPr>
        <w:t>–</w:t>
      </w:r>
      <w:r w:rsidRPr="0002749A">
        <w:rPr>
          <w:iCs/>
          <w:lang w:val="en-US"/>
        </w:rPr>
        <w:t>394.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lastRenderedPageBreak/>
        <w:t>Arnold I.</w:t>
      </w:r>
      <w:r w:rsidRPr="0002749A">
        <w:rPr>
          <w:iCs/>
          <w:lang w:val="en-US"/>
        </w:rPr>
        <w:t xml:space="preserve">, </w:t>
      </w:r>
      <w:proofErr w:type="spellStart"/>
      <w:r w:rsidRPr="0002749A">
        <w:rPr>
          <w:iCs/>
          <w:lang w:val="en-US"/>
        </w:rPr>
        <w:t>Verhoef</w:t>
      </w:r>
      <w:proofErr w:type="spellEnd"/>
      <w:r w:rsidRPr="0002749A">
        <w:rPr>
          <w:iCs/>
          <w:lang w:val="en-US"/>
        </w:rPr>
        <w:t xml:space="preserve"> B. External causes of Euro zone inflation differentials //</w:t>
      </w:r>
      <w:r>
        <w:rPr>
          <w:iCs/>
          <w:lang w:val="en-US"/>
        </w:rPr>
        <w:t xml:space="preserve"> </w:t>
      </w:r>
      <w:r w:rsidRPr="0002749A">
        <w:rPr>
          <w:iCs/>
          <w:lang w:val="en-US"/>
        </w:rPr>
        <w:t>Inter</w:t>
      </w:r>
      <w:r>
        <w:rPr>
          <w:iCs/>
          <w:lang w:val="en-US"/>
        </w:rPr>
        <w:t>-economics. – 2004. – Т.</w:t>
      </w:r>
      <w:r w:rsidRPr="0002749A">
        <w:rPr>
          <w:iCs/>
          <w:lang w:val="en-US"/>
        </w:rPr>
        <w:t>39</w:t>
      </w:r>
      <w:r>
        <w:rPr>
          <w:iCs/>
          <w:lang w:val="en-US"/>
        </w:rPr>
        <w:t>(5). – С.</w:t>
      </w:r>
      <w:r w:rsidRPr="0002749A">
        <w:rPr>
          <w:iCs/>
          <w:lang w:val="en-US"/>
        </w:rPr>
        <w:t>254</w:t>
      </w:r>
      <w:r>
        <w:rPr>
          <w:iCs/>
          <w:lang w:val="en-US"/>
        </w:rPr>
        <w:t>–</w:t>
      </w:r>
      <w:r w:rsidRPr="0002749A">
        <w:rPr>
          <w:iCs/>
          <w:lang w:val="en-US"/>
        </w:rPr>
        <w:t>263.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</w:rPr>
      </w:pPr>
      <w:r w:rsidRPr="00512AD6">
        <w:rPr>
          <w:iCs/>
        </w:rPr>
        <w:t>Добронравова Е.П.</w:t>
      </w:r>
      <w:r>
        <w:rPr>
          <w:iCs/>
        </w:rPr>
        <w:t xml:space="preserve">, </w:t>
      </w:r>
      <w:proofErr w:type="spellStart"/>
      <w:r>
        <w:rPr>
          <w:iCs/>
        </w:rPr>
        <w:t>Перевышин</w:t>
      </w:r>
      <w:proofErr w:type="spellEnd"/>
      <w:r>
        <w:rPr>
          <w:iCs/>
        </w:rPr>
        <w:t xml:space="preserve"> Ю.Н., Шемякина К.А.</w:t>
      </w:r>
      <w:r w:rsidRPr="00512AD6">
        <w:rPr>
          <w:iCs/>
        </w:rPr>
        <w:t xml:space="preserve"> Закон единой цены и различия</w:t>
      </w:r>
      <w:r>
        <w:rPr>
          <w:iCs/>
        </w:rPr>
        <w:t xml:space="preserve"> инфляции в российских регионах.</w:t>
      </w:r>
      <w:r w:rsidRPr="00512AD6">
        <w:rPr>
          <w:iCs/>
        </w:rPr>
        <w:t xml:space="preserve"> – М.: </w:t>
      </w:r>
      <w:proofErr w:type="spellStart"/>
      <w:r w:rsidRPr="00512AD6">
        <w:rPr>
          <w:iCs/>
        </w:rPr>
        <w:t>РАНХиГС</w:t>
      </w:r>
      <w:proofErr w:type="spellEnd"/>
      <w:r w:rsidRPr="00512AD6">
        <w:rPr>
          <w:iCs/>
        </w:rPr>
        <w:t>, 2019.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Andersson</w:t>
      </w:r>
      <w:r w:rsidRPr="00E86833">
        <w:rPr>
          <w:iCs/>
          <w:lang w:val="en-US"/>
        </w:rPr>
        <w:t xml:space="preserve"> M.</w:t>
      </w:r>
      <w:r>
        <w:rPr>
          <w:iCs/>
          <w:lang w:val="en-US"/>
        </w:rPr>
        <w:t xml:space="preserve">, </w:t>
      </w:r>
      <w:proofErr w:type="spellStart"/>
      <w:r>
        <w:rPr>
          <w:iCs/>
          <w:lang w:val="en-US"/>
        </w:rPr>
        <w:t>Masuch</w:t>
      </w:r>
      <w:proofErr w:type="spellEnd"/>
      <w:r>
        <w:rPr>
          <w:iCs/>
          <w:lang w:val="en-US"/>
        </w:rPr>
        <w:t xml:space="preserve"> K., </w:t>
      </w:r>
      <w:proofErr w:type="spellStart"/>
      <w:r>
        <w:rPr>
          <w:iCs/>
          <w:lang w:val="en-US"/>
        </w:rPr>
        <w:t>Schiffbauer</w:t>
      </w:r>
      <w:proofErr w:type="spellEnd"/>
      <w:r>
        <w:rPr>
          <w:iCs/>
          <w:lang w:val="en-US"/>
        </w:rPr>
        <w:t xml:space="preserve"> M.</w:t>
      </w:r>
      <w:r w:rsidRPr="00E86833">
        <w:rPr>
          <w:iCs/>
          <w:lang w:val="en-US"/>
        </w:rPr>
        <w:t xml:space="preserve"> Determinants of inflation and price level differentials across the Euro area countries </w:t>
      </w:r>
      <w:r>
        <w:rPr>
          <w:iCs/>
          <w:lang w:val="en-US"/>
        </w:rPr>
        <w:t>/</w:t>
      </w:r>
      <w:r w:rsidRPr="00E86833">
        <w:rPr>
          <w:iCs/>
          <w:lang w:val="en-US"/>
        </w:rPr>
        <w:t>/ ECB Working Paper Series</w:t>
      </w:r>
      <w:r>
        <w:rPr>
          <w:iCs/>
          <w:lang w:val="en-US"/>
        </w:rPr>
        <w:t xml:space="preserve">, </w:t>
      </w:r>
      <w:r w:rsidRPr="00E86833">
        <w:rPr>
          <w:iCs/>
          <w:lang w:val="en-US"/>
        </w:rPr>
        <w:t>2009. – №1129.</w:t>
      </w:r>
    </w:p>
    <w:p w:rsidR="005E3A85" w:rsidRP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</w:rPr>
      </w:pPr>
      <w:r>
        <w:rPr>
          <w:iCs/>
        </w:rPr>
        <w:t>Перевышин</w:t>
      </w:r>
      <w:r w:rsidRPr="005E3A85">
        <w:rPr>
          <w:iCs/>
        </w:rPr>
        <w:t xml:space="preserve"> </w:t>
      </w:r>
      <w:r>
        <w:rPr>
          <w:iCs/>
        </w:rPr>
        <w:t>Ю</w:t>
      </w:r>
      <w:r w:rsidRPr="005E3A85">
        <w:rPr>
          <w:iCs/>
        </w:rPr>
        <w:t>.</w:t>
      </w:r>
      <w:r w:rsidRPr="00E86833">
        <w:rPr>
          <w:iCs/>
        </w:rPr>
        <w:t>Н</w:t>
      </w:r>
      <w:r w:rsidRPr="005E3A85">
        <w:rPr>
          <w:iCs/>
        </w:rPr>
        <w:t xml:space="preserve">., </w:t>
      </w:r>
      <w:r>
        <w:rPr>
          <w:iCs/>
        </w:rPr>
        <w:t>Синельников</w:t>
      </w:r>
      <w:r w:rsidRPr="005E3A85">
        <w:rPr>
          <w:iCs/>
        </w:rPr>
        <w:t>-</w:t>
      </w:r>
      <w:proofErr w:type="spellStart"/>
      <w:r>
        <w:rPr>
          <w:iCs/>
        </w:rPr>
        <w:t>Мурылев</w:t>
      </w:r>
      <w:proofErr w:type="spellEnd"/>
      <w:r w:rsidRPr="005E3A85">
        <w:rPr>
          <w:iCs/>
        </w:rPr>
        <w:t xml:space="preserve"> </w:t>
      </w:r>
      <w:r>
        <w:rPr>
          <w:iCs/>
        </w:rPr>
        <w:t>С</w:t>
      </w:r>
      <w:r w:rsidRPr="005E3A85">
        <w:rPr>
          <w:iCs/>
        </w:rPr>
        <w:t>.</w:t>
      </w:r>
      <w:r>
        <w:rPr>
          <w:iCs/>
        </w:rPr>
        <w:t>Г</w:t>
      </w:r>
      <w:r w:rsidRPr="005E3A85">
        <w:rPr>
          <w:iCs/>
        </w:rPr>
        <w:t xml:space="preserve">., </w:t>
      </w:r>
      <w:proofErr w:type="spellStart"/>
      <w:r>
        <w:rPr>
          <w:iCs/>
        </w:rPr>
        <w:t>Трунин</w:t>
      </w:r>
      <w:proofErr w:type="spellEnd"/>
      <w:r w:rsidRPr="005E3A85">
        <w:rPr>
          <w:iCs/>
        </w:rPr>
        <w:t xml:space="preserve"> </w:t>
      </w:r>
      <w:r>
        <w:rPr>
          <w:iCs/>
        </w:rPr>
        <w:t>П</w:t>
      </w:r>
      <w:r w:rsidRPr="005E3A85">
        <w:rPr>
          <w:iCs/>
        </w:rPr>
        <w:t>.</w:t>
      </w:r>
      <w:r>
        <w:rPr>
          <w:iCs/>
        </w:rPr>
        <w:t>В</w:t>
      </w:r>
      <w:r w:rsidRPr="005E3A85">
        <w:rPr>
          <w:iCs/>
        </w:rPr>
        <w:t xml:space="preserve">. </w:t>
      </w:r>
      <w:r w:rsidRPr="00E86833">
        <w:rPr>
          <w:iCs/>
        </w:rPr>
        <w:t>Факторы</w:t>
      </w:r>
      <w:r w:rsidRPr="005E3A85">
        <w:rPr>
          <w:iCs/>
        </w:rPr>
        <w:t xml:space="preserve"> </w:t>
      </w:r>
      <w:r w:rsidRPr="00E86833">
        <w:rPr>
          <w:iCs/>
        </w:rPr>
        <w:t>дифференциаци</w:t>
      </w:r>
      <w:r>
        <w:rPr>
          <w:iCs/>
        </w:rPr>
        <w:t>и</w:t>
      </w:r>
      <w:r w:rsidRPr="005E3A85">
        <w:rPr>
          <w:iCs/>
        </w:rPr>
        <w:t xml:space="preserve"> </w:t>
      </w:r>
      <w:r>
        <w:rPr>
          <w:iCs/>
        </w:rPr>
        <w:t>цен</w:t>
      </w:r>
      <w:r w:rsidRPr="005E3A85">
        <w:rPr>
          <w:iCs/>
        </w:rPr>
        <w:t xml:space="preserve"> </w:t>
      </w:r>
      <w:r>
        <w:rPr>
          <w:iCs/>
        </w:rPr>
        <w:t>в</w:t>
      </w:r>
      <w:r w:rsidRPr="005E3A85">
        <w:rPr>
          <w:iCs/>
        </w:rPr>
        <w:t xml:space="preserve"> </w:t>
      </w:r>
      <w:r>
        <w:rPr>
          <w:iCs/>
        </w:rPr>
        <w:t>российских</w:t>
      </w:r>
      <w:r w:rsidRPr="005E3A85">
        <w:rPr>
          <w:iCs/>
        </w:rPr>
        <w:t xml:space="preserve"> </w:t>
      </w:r>
      <w:r>
        <w:rPr>
          <w:iCs/>
        </w:rPr>
        <w:t>регионах</w:t>
      </w:r>
      <w:r w:rsidRPr="005E3A85">
        <w:rPr>
          <w:iCs/>
        </w:rPr>
        <w:t xml:space="preserve"> // </w:t>
      </w:r>
      <w:r w:rsidRPr="00E86833">
        <w:rPr>
          <w:iCs/>
        </w:rPr>
        <w:t>Эконом</w:t>
      </w:r>
      <w:r>
        <w:rPr>
          <w:iCs/>
        </w:rPr>
        <w:t>ический</w:t>
      </w:r>
      <w:r w:rsidRPr="005E3A85">
        <w:rPr>
          <w:iCs/>
        </w:rPr>
        <w:t xml:space="preserve"> </w:t>
      </w:r>
      <w:r>
        <w:rPr>
          <w:iCs/>
        </w:rPr>
        <w:t>журнал</w:t>
      </w:r>
      <w:r w:rsidRPr="005E3A85">
        <w:rPr>
          <w:iCs/>
        </w:rPr>
        <w:t xml:space="preserve"> </w:t>
      </w:r>
      <w:r>
        <w:rPr>
          <w:iCs/>
        </w:rPr>
        <w:t>ВШЭ</w:t>
      </w:r>
      <w:r w:rsidRPr="005E3A85">
        <w:rPr>
          <w:iCs/>
        </w:rPr>
        <w:t xml:space="preserve">. – 2017. – №3(21). – </w:t>
      </w:r>
      <w:r w:rsidRPr="00E86833">
        <w:rPr>
          <w:iCs/>
        </w:rPr>
        <w:t>С</w:t>
      </w:r>
      <w:r w:rsidRPr="005E3A85">
        <w:rPr>
          <w:iCs/>
        </w:rPr>
        <w:t>.361–384.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Batista C</w:t>
      </w:r>
      <w:r w:rsidRPr="00E86833">
        <w:rPr>
          <w:iCs/>
          <w:lang w:val="en-US"/>
        </w:rPr>
        <w:t xml:space="preserve">., </w:t>
      </w:r>
      <w:proofErr w:type="spellStart"/>
      <w:r w:rsidRPr="00E86833">
        <w:rPr>
          <w:iCs/>
          <w:lang w:val="en-US"/>
        </w:rPr>
        <w:t>Filho</w:t>
      </w:r>
      <w:proofErr w:type="spellEnd"/>
      <w:r w:rsidRPr="00E86833">
        <w:rPr>
          <w:iCs/>
          <w:lang w:val="en-US"/>
        </w:rPr>
        <w:t xml:space="preserve"> </w:t>
      </w:r>
      <w:r>
        <w:rPr>
          <w:iCs/>
          <w:lang w:val="en-US"/>
        </w:rPr>
        <w:t>S.</w:t>
      </w:r>
      <w:r w:rsidRPr="00E86833">
        <w:rPr>
          <w:iCs/>
          <w:lang w:val="en-US"/>
        </w:rPr>
        <w:t xml:space="preserve"> Trade costs and </w:t>
      </w:r>
      <w:r>
        <w:rPr>
          <w:iCs/>
          <w:lang w:val="en-US"/>
        </w:rPr>
        <w:t>d</w:t>
      </w:r>
      <w:r w:rsidRPr="00E86833">
        <w:rPr>
          <w:iCs/>
          <w:lang w:val="en-US"/>
        </w:rPr>
        <w:t xml:space="preserve">eviations from the Law of </w:t>
      </w:r>
      <w:r>
        <w:rPr>
          <w:iCs/>
          <w:lang w:val="en-US"/>
        </w:rPr>
        <w:t>one p</w:t>
      </w:r>
      <w:r w:rsidRPr="00E86833">
        <w:rPr>
          <w:iCs/>
          <w:lang w:val="en-US"/>
        </w:rPr>
        <w:t>rice //</w:t>
      </w:r>
      <w:r>
        <w:rPr>
          <w:iCs/>
          <w:lang w:val="en-US"/>
        </w:rPr>
        <w:t xml:space="preserve"> </w:t>
      </w:r>
      <w:r w:rsidRPr="00E86833">
        <w:rPr>
          <w:iCs/>
          <w:lang w:val="en-US"/>
        </w:rPr>
        <w:t xml:space="preserve">American Journal of Agricultural Economics. – 2010. – </w:t>
      </w:r>
      <w:r w:rsidRPr="00E86833">
        <w:rPr>
          <w:iCs/>
        </w:rPr>
        <w:t>Т</w:t>
      </w:r>
      <w:r w:rsidRPr="00E86833">
        <w:rPr>
          <w:iCs/>
          <w:lang w:val="en-US"/>
        </w:rPr>
        <w:t>.92</w:t>
      </w:r>
      <w:r>
        <w:rPr>
          <w:iCs/>
          <w:lang w:val="en-US"/>
        </w:rPr>
        <w:t>(4)</w:t>
      </w:r>
      <w:r w:rsidRPr="00E86833">
        <w:rPr>
          <w:iCs/>
          <w:lang w:val="en-US"/>
        </w:rPr>
        <w:t xml:space="preserve">. – </w:t>
      </w:r>
      <w:r w:rsidRPr="00E86833">
        <w:rPr>
          <w:iCs/>
        </w:rPr>
        <w:t>С</w:t>
      </w:r>
      <w:r>
        <w:rPr>
          <w:iCs/>
          <w:lang w:val="en-US"/>
        </w:rPr>
        <w:t>.</w:t>
      </w:r>
      <w:r w:rsidRPr="00E86833">
        <w:rPr>
          <w:iCs/>
          <w:lang w:val="en-US"/>
        </w:rPr>
        <w:t>1011</w:t>
      </w:r>
      <w:r>
        <w:rPr>
          <w:iCs/>
          <w:lang w:val="en-US"/>
        </w:rPr>
        <w:t>–</w:t>
      </w:r>
      <w:r w:rsidRPr="00E86833">
        <w:rPr>
          <w:iCs/>
          <w:lang w:val="en-US"/>
        </w:rPr>
        <w:t>1023.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5E3A85">
        <w:rPr>
          <w:iCs/>
          <w:lang w:val="en-US"/>
        </w:rPr>
        <w:t>Corsetti</w:t>
      </w:r>
      <w:proofErr w:type="spellEnd"/>
      <w:r w:rsidRPr="005E3A85">
        <w:rPr>
          <w:iCs/>
          <w:lang w:val="en-US"/>
        </w:rPr>
        <w:t xml:space="preserve"> G., </w:t>
      </w:r>
      <w:proofErr w:type="spellStart"/>
      <w:r w:rsidRPr="005E3A85">
        <w:rPr>
          <w:iCs/>
          <w:lang w:val="en-US"/>
        </w:rPr>
        <w:t>Dedola</w:t>
      </w:r>
      <w:proofErr w:type="spellEnd"/>
      <w:r w:rsidRPr="005E3A85">
        <w:rPr>
          <w:iCs/>
          <w:lang w:val="en-US"/>
        </w:rPr>
        <w:t xml:space="preserve"> L., </w:t>
      </w:r>
      <w:proofErr w:type="spellStart"/>
      <w:r w:rsidRPr="005E3A85">
        <w:rPr>
          <w:iCs/>
          <w:lang w:val="en-US"/>
        </w:rPr>
        <w:t>Viani</w:t>
      </w:r>
      <w:proofErr w:type="spellEnd"/>
      <w:r w:rsidRPr="005E3A85">
        <w:rPr>
          <w:iCs/>
          <w:lang w:val="en-US"/>
        </w:rPr>
        <w:t xml:space="preserve"> F. Traded and nontraded goods prices, and international risk sharing: an empirical investigation. – National Bureau of Economic Research, 2011. – №17501.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5E3A85">
        <w:rPr>
          <w:iCs/>
          <w:lang w:val="en-US"/>
        </w:rPr>
        <w:t>Cecchetti</w:t>
      </w:r>
      <w:proofErr w:type="spellEnd"/>
      <w:r w:rsidRPr="005E3A85">
        <w:rPr>
          <w:iCs/>
          <w:lang w:val="en-US"/>
        </w:rPr>
        <w:t xml:space="preserve"> S.</w:t>
      </w:r>
      <w:r>
        <w:rPr>
          <w:iCs/>
          <w:lang w:val="en-US"/>
        </w:rPr>
        <w:t>, Mark N., Sonora R.</w:t>
      </w:r>
      <w:r w:rsidRPr="005E3A85">
        <w:rPr>
          <w:iCs/>
          <w:lang w:val="en-US"/>
        </w:rPr>
        <w:t xml:space="preserve"> Price index convergen</w:t>
      </w:r>
      <w:r>
        <w:rPr>
          <w:iCs/>
          <w:lang w:val="en-US"/>
        </w:rPr>
        <w:t xml:space="preserve">ce among United States cities </w:t>
      </w:r>
      <w:r w:rsidRPr="005E3A85">
        <w:rPr>
          <w:iCs/>
          <w:lang w:val="en-US"/>
        </w:rPr>
        <w:t>// International Economic Review. – 2</w:t>
      </w:r>
      <w:r>
        <w:rPr>
          <w:iCs/>
          <w:lang w:val="en-US"/>
        </w:rPr>
        <w:t xml:space="preserve">002. – </w:t>
      </w:r>
      <w:r>
        <w:rPr>
          <w:iCs/>
        </w:rPr>
        <w:t>Т</w:t>
      </w:r>
      <w:r w:rsidRPr="005E3A85">
        <w:rPr>
          <w:iCs/>
          <w:lang w:val="en-US"/>
        </w:rPr>
        <w:t>.43(4)</w:t>
      </w:r>
      <w:r>
        <w:rPr>
          <w:iCs/>
          <w:lang w:val="en-US"/>
        </w:rPr>
        <w:t>. – С</w:t>
      </w:r>
      <w:r w:rsidRPr="005E3A85">
        <w:rPr>
          <w:iCs/>
          <w:lang w:val="en-US"/>
        </w:rPr>
        <w:t>.1081–1099.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5E3A85">
        <w:rPr>
          <w:iCs/>
          <w:lang w:val="en-US"/>
        </w:rPr>
        <w:t>Marques H.</w:t>
      </w:r>
      <w:r>
        <w:rPr>
          <w:iCs/>
          <w:lang w:val="en-US"/>
        </w:rPr>
        <w:t xml:space="preserve">, </w:t>
      </w:r>
      <w:proofErr w:type="spellStart"/>
      <w:r>
        <w:rPr>
          <w:iCs/>
          <w:lang w:val="en-US"/>
        </w:rPr>
        <w:t>Pino</w:t>
      </w:r>
      <w:proofErr w:type="spellEnd"/>
      <w:r>
        <w:rPr>
          <w:iCs/>
          <w:lang w:val="en-US"/>
        </w:rPr>
        <w:t xml:space="preserve"> G., Tena J.</w:t>
      </w:r>
      <w:r w:rsidRPr="005E3A85">
        <w:rPr>
          <w:iCs/>
          <w:lang w:val="en-US"/>
        </w:rPr>
        <w:t xml:space="preserve"> Regional</w:t>
      </w:r>
      <w:r>
        <w:rPr>
          <w:iCs/>
          <w:lang w:val="en-US"/>
        </w:rPr>
        <w:t xml:space="preserve"> inflation dynamics using space-</w:t>
      </w:r>
      <w:r w:rsidRPr="005E3A85">
        <w:rPr>
          <w:iCs/>
          <w:lang w:val="en-US"/>
        </w:rPr>
        <w:t xml:space="preserve">time models // Empirical Economics. – 2014. – </w:t>
      </w:r>
      <w:r>
        <w:rPr>
          <w:iCs/>
        </w:rPr>
        <w:t>Т</w:t>
      </w:r>
      <w:r w:rsidRPr="005E3A85">
        <w:rPr>
          <w:iCs/>
          <w:lang w:val="en-US"/>
        </w:rPr>
        <w:t xml:space="preserve">.47(3). – </w:t>
      </w:r>
      <w:r>
        <w:rPr>
          <w:iCs/>
        </w:rPr>
        <w:t>С</w:t>
      </w:r>
      <w:r w:rsidRPr="005E3A85">
        <w:rPr>
          <w:iCs/>
          <w:lang w:val="en-US"/>
        </w:rPr>
        <w:t>.1147–1172.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</w:rPr>
      </w:pPr>
      <w:r w:rsidRPr="005E3A85">
        <w:rPr>
          <w:iCs/>
        </w:rPr>
        <w:t>Глущенко К.П. Закон единой цены в российском экономическом пространстве // Прикладная эконометрика. – 2010. – №</w:t>
      </w:r>
      <w:r>
        <w:rPr>
          <w:iCs/>
        </w:rPr>
        <w:t>1(17). – С.</w:t>
      </w:r>
      <w:r w:rsidRPr="005E3A85">
        <w:rPr>
          <w:iCs/>
        </w:rPr>
        <w:t>3–19.</w:t>
      </w:r>
    </w:p>
    <w:p w:rsid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</w:rPr>
      </w:pPr>
      <w:r w:rsidRPr="005E3A85">
        <w:rPr>
          <w:iCs/>
        </w:rPr>
        <w:t>Глущенко К.П. Межрегиональная дифференциация темпов инфляции // Научные доклады Российской программы экономич</w:t>
      </w:r>
      <w:r>
        <w:rPr>
          <w:iCs/>
        </w:rPr>
        <w:t>еских исследований. – 2001. – №</w:t>
      </w:r>
      <w:r w:rsidRPr="005E3A85">
        <w:rPr>
          <w:iCs/>
        </w:rPr>
        <w:t>99(17).</w:t>
      </w:r>
    </w:p>
    <w:p w:rsidR="003D3DA6" w:rsidRPr="005E3A85" w:rsidRDefault="005E3A85" w:rsidP="00062859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</w:rPr>
      </w:pPr>
      <w:r w:rsidRPr="005E3A85">
        <w:rPr>
          <w:iCs/>
        </w:rPr>
        <w:t>Цыплаков А.А. Статистический анализ динамики региональных уровней цен // Вестник НГУ: Социально-экономические науки. – 2000. – Т.1(1). – С.5–19.</w:t>
      </w:r>
    </w:p>
    <w:sectPr w:rsidR="003D3DA6" w:rsidRPr="005E3A85" w:rsidSect="00DB63E1"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0E7" w:rsidRDefault="008610E7">
      <w:r>
        <w:separator/>
      </w:r>
    </w:p>
  </w:endnote>
  <w:endnote w:type="continuationSeparator" w:id="0">
    <w:p w:rsidR="008610E7" w:rsidRDefault="0086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6833" w:rsidRDefault="00E86833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0E7" w:rsidRDefault="008610E7">
      <w:r>
        <w:separator/>
      </w:r>
    </w:p>
  </w:footnote>
  <w:footnote w:type="continuationSeparator" w:id="0">
    <w:p w:rsidR="008610E7" w:rsidRDefault="00861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7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DCF"/>
    <w:rsid w:val="00010A24"/>
    <w:rsid w:val="00014E8B"/>
    <w:rsid w:val="00016E5C"/>
    <w:rsid w:val="0002080F"/>
    <w:rsid w:val="0002244D"/>
    <w:rsid w:val="000226B0"/>
    <w:rsid w:val="0002749A"/>
    <w:rsid w:val="0002758D"/>
    <w:rsid w:val="00031A39"/>
    <w:rsid w:val="0003471D"/>
    <w:rsid w:val="000430FD"/>
    <w:rsid w:val="0004322E"/>
    <w:rsid w:val="000441FB"/>
    <w:rsid w:val="00046713"/>
    <w:rsid w:val="00051358"/>
    <w:rsid w:val="00052E5F"/>
    <w:rsid w:val="0005680F"/>
    <w:rsid w:val="00062859"/>
    <w:rsid w:val="00062E85"/>
    <w:rsid w:val="0006450E"/>
    <w:rsid w:val="0007585F"/>
    <w:rsid w:val="00077500"/>
    <w:rsid w:val="000805D2"/>
    <w:rsid w:val="000846E9"/>
    <w:rsid w:val="0009132D"/>
    <w:rsid w:val="00091D53"/>
    <w:rsid w:val="000946FB"/>
    <w:rsid w:val="000A09F2"/>
    <w:rsid w:val="000A1AF2"/>
    <w:rsid w:val="000A22EC"/>
    <w:rsid w:val="000A3427"/>
    <w:rsid w:val="000A5339"/>
    <w:rsid w:val="000B4D1A"/>
    <w:rsid w:val="000B661D"/>
    <w:rsid w:val="000C14E8"/>
    <w:rsid w:val="000C1ECC"/>
    <w:rsid w:val="000E1C13"/>
    <w:rsid w:val="000E2D56"/>
    <w:rsid w:val="000F4F67"/>
    <w:rsid w:val="00101D10"/>
    <w:rsid w:val="001066FB"/>
    <w:rsid w:val="001114A0"/>
    <w:rsid w:val="001114E4"/>
    <w:rsid w:val="0011577A"/>
    <w:rsid w:val="00121EA1"/>
    <w:rsid w:val="00122081"/>
    <w:rsid w:val="00122DDC"/>
    <w:rsid w:val="001277F5"/>
    <w:rsid w:val="001311DC"/>
    <w:rsid w:val="00132F58"/>
    <w:rsid w:val="0014161C"/>
    <w:rsid w:val="00143741"/>
    <w:rsid w:val="001459AA"/>
    <w:rsid w:val="001477AF"/>
    <w:rsid w:val="00150D7B"/>
    <w:rsid w:val="0016644A"/>
    <w:rsid w:val="001676D9"/>
    <w:rsid w:val="00175623"/>
    <w:rsid w:val="001842E3"/>
    <w:rsid w:val="00184D5E"/>
    <w:rsid w:val="0019221B"/>
    <w:rsid w:val="00192A7E"/>
    <w:rsid w:val="0019480F"/>
    <w:rsid w:val="001965E7"/>
    <w:rsid w:val="001A3B47"/>
    <w:rsid w:val="001A6C9F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5AA0"/>
    <w:rsid w:val="001D7850"/>
    <w:rsid w:val="001E021B"/>
    <w:rsid w:val="001F4791"/>
    <w:rsid w:val="0020021C"/>
    <w:rsid w:val="002020BB"/>
    <w:rsid w:val="00205AF8"/>
    <w:rsid w:val="00207930"/>
    <w:rsid w:val="002105C0"/>
    <w:rsid w:val="00214F23"/>
    <w:rsid w:val="00221B5D"/>
    <w:rsid w:val="00222E9B"/>
    <w:rsid w:val="00224E71"/>
    <w:rsid w:val="00225857"/>
    <w:rsid w:val="002329D5"/>
    <w:rsid w:val="00237B92"/>
    <w:rsid w:val="00241570"/>
    <w:rsid w:val="00243721"/>
    <w:rsid w:val="00247FB9"/>
    <w:rsid w:val="002712FA"/>
    <w:rsid w:val="00275417"/>
    <w:rsid w:val="00283346"/>
    <w:rsid w:val="0028656C"/>
    <w:rsid w:val="00290B2C"/>
    <w:rsid w:val="00290F4E"/>
    <w:rsid w:val="00291BD3"/>
    <w:rsid w:val="00297E54"/>
    <w:rsid w:val="002A2683"/>
    <w:rsid w:val="002A7D4F"/>
    <w:rsid w:val="002A7F36"/>
    <w:rsid w:val="002B0CAF"/>
    <w:rsid w:val="002B2D30"/>
    <w:rsid w:val="002B4C1D"/>
    <w:rsid w:val="002B698C"/>
    <w:rsid w:val="002B7AFE"/>
    <w:rsid w:val="002C5361"/>
    <w:rsid w:val="002C61FF"/>
    <w:rsid w:val="002C651D"/>
    <w:rsid w:val="002C6C7D"/>
    <w:rsid w:val="002D2079"/>
    <w:rsid w:val="002D2297"/>
    <w:rsid w:val="002D3202"/>
    <w:rsid w:val="002D5F5D"/>
    <w:rsid w:val="002E1211"/>
    <w:rsid w:val="002F08AD"/>
    <w:rsid w:val="002F4AA9"/>
    <w:rsid w:val="00305D8B"/>
    <w:rsid w:val="003070C4"/>
    <w:rsid w:val="003135C9"/>
    <w:rsid w:val="00317319"/>
    <w:rsid w:val="00323403"/>
    <w:rsid w:val="0032664C"/>
    <w:rsid w:val="00326872"/>
    <w:rsid w:val="003311AE"/>
    <w:rsid w:val="00343D7D"/>
    <w:rsid w:val="00343E7F"/>
    <w:rsid w:val="00350F0D"/>
    <w:rsid w:val="003541AC"/>
    <w:rsid w:val="00354B32"/>
    <w:rsid w:val="003550A7"/>
    <w:rsid w:val="00357405"/>
    <w:rsid w:val="003650B2"/>
    <w:rsid w:val="003702E8"/>
    <w:rsid w:val="00375945"/>
    <w:rsid w:val="00381F8E"/>
    <w:rsid w:val="00383D5F"/>
    <w:rsid w:val="00384C7A"/>
    <w:rsid w:val="00392909"/>
    <w:rsid w:val="003942DA"/>
    <w:rsid w:val="00395D29"/>
    <w:rsid w:val="00396011"/>
    <w:rsid w:val="0039739E"/>
    <w:rsid w:val="003A214B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3DA6"/>
    <w:rsid w:val="003D6370"/>
    <w:rsid w:val="003E5023"/>
    <w:rsid w:val="003E6268"/>
    <w:rsid w:val="003F2679"/>
    <w:rsid w:val="003F2EDA"/>
    <w:rsid w:val="003F4022"/>
    <w:rsid w:val="003F49C3"/>
    <w:rsid w:val="003F5E62"/>
    <w:rsid w:val="003F6A06"/>
    <w:rsid w:val="003F7FB9"/>
    <w:rsid w:val="00400F68"/>
    <w:rsid w:val="0040113B"/>
    <w:rsid w:val="00407926"/>
    <w:rsid w:val="00411AFB"/>
    <w:rsid w:val="0042131F"/>
    <w:rsid w:val="00424BD3"/>
    <w:rsid w:val="00432041"/>
    <w:rsid w:val="004419BF"/>
    <w:rsid w:val="00447761"/>
    <w:rsid w:val="00451AC0"/>
    <w:rsid w:val="00453B33"/>
    <w:rsid w:val="0046329F"/>
    <w:rsid w:val="004646F2"/>
    <w:rsid w:val="0046510E"/>
    <w:rsid w:val="00466084"/>
    <w:rsid w:val="004724D5"/>
    <w:rsid w:val="00477079"/>
    <w:rsid w:val="004808ED"/>
    <w:rsid w:val="00481C0F"/>
    <w:rsid w:val="00481CE3"/>
    <w:rsid w:val="004862DF"/>
    <w:rsid w:val="004874F9"/>
    <w:rsid w:val="00490862"/>
    <w:rsid w:val="004918F9"/>
    <w:rsid w:val="004A1EF9"/>
    <w:rsid w:val="004A4341"/>
    <w:rsid w:val="004A4D0C"/>
    <w:rsid w:val="004A554F"/>
    <w:rsid w:val="004A5BFA"/>
    <w:rsid w:val="004A77F0"/>
    <w:rsid w:val="004B2896"/>
    <w:rsid w:val="004B4DED"/>
    <w:rsid w:val="004B4E6F"/>
    <w:rsid w:val="004C55B4"/>
    <w:rsid w:val="004D3B1F"/>
    <w:rsid w:val="004D76D7"/>
    <w:rsid w:val="004E09F0"/>
    <w:rsid w:val="004E3F7D"/>
    <w:rsid w:val="004E7F99"/>
    <w:rsid w:val="004F06A7"/>
    <w:rsid w:val="004F20E9"/>
    <w:rsid w:val="0050000B"/>
    <w:rsid w:val="0050261B"/>
    <w:rsid w:val="005073E0"/>
    <w:rsid w:val="005107DF"/>
    <w:rsid w:val="00512AD6"/>
    <w:rsid w:val="00514014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27CF"/>
    <w:rsid w:val="0057360B"/>
    <w:rsid w:val="00574822"/>
    <w:rsid w:val="00574AEC"/>
    <w:rsid w:val="00575ED9"/>
    <w:rsid w:val="00576317"/>
    <w:rsid w:val="00576FA3"/>
    <w:rsid w:val="005816DD"/>
    <w:rsid w:val="00582E39"/>
    <w:rsid w:val="0059131F"/>
    <w:rsid w:val="00593AC7"/>
    <w:rsid w:val="00594845"/>
    <w:rsid w:val="00595AA4"/>
    <w:rsid w:val="005A19EE"/>
    <w:rsid w:val="005A3A26"/>
    <w:rsid w:val="005A3EF5"/>
    <w:rsid w:val="005A517A"/>
    <w:rsid w:val="005A630D"/>
    <w:rsid w:val="005B0BC4"/>
    <w:rsid w:val="005B1449"/>
    <w:rsid w:val="005B3552"/>
    <w:rsid w:val="005B4EE0"/>
    <w:rsid w:val="005B749F"/>
    <w:rsid w:val="005C2538"/>
    <w:rsid w:val="005C3678"/>
    <w:rsid w:val="005C492F"/>
    <w:rsid w:val="005D07AC"/>
    <w:rsid w:val="005D0AE1"/>
    <w:rsid w:val="005D4758"/>
    <w:rsid w:val="005D4ED4"/>
    <w:rsid w:val="005E0BB7"/>
    <w:rsid w:val="005E3A85"/>
    <w:rsid w:val="005E5244"/>
    <w:rsid w:val="005F1B0C"/>
    <w:rsid w:val="005F1CE7"/>
    <w:rsid w:val="005F1D37"/>
    <w:rsid w:val="005F784A"/>
    <w:rsid w:val="005F7CB6"/>
    <w:rsid w:val="006025F3"/>
    <w:rsid w:val="00603FD0"/>
    <w:rsid w:val="006051B7"/>
    <w:rsid w:val="00611267"/>
    <w:rsid w:val="006217AD"/>
    <w:rsid w:val="006256AE"/>
    <w:rsid w:val="00625CF5"/>
    <w:rsid w:val="00630ABC"/>
    <w:rsid w:val="00640072"/>
    <w:rsid w:val="0065187A"/>
    <w:rsid w:val="00651ECD"/>
    <w:rsid w:val="0065494F"/>
    <w:rsid w:val="00657B0B"/>
    <w:rsid w:val="006601FA"/>
    <w:rsid w:val="00675767"/>
    <w:rsid w:val="006841AE"/>
    <w:rsid w:val="00684F7C"/>
    <w:rsid w:val="006866DA"/>
    <w:rsid w:val="00686841"/>
    <w:rsid w:val="00693441"/>
    <w:rsid w:val="00696C75"/>
    <w:rsid w:val="006B20BE"/>
    <w:rsid w:val="006B28A0"/>
    <w:rsid w:val="006B3D0F"/>
    <w:rsid w:val="006B6E3D"/>
    <w:rsid w:val="006B7114"/>
    <w:rsid w:val="006C2032"/>
    <w:rsid w:val="006D0FC1"/>
    <w:rsid w:val="006D203C"/>
    <w:rsid w:val="006D46E8"/>
    <w:rsid w:val="006E3D36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5018B"/>
    <w:rsid w:val="00752A91"/>
    <w:rsid w:val="00755845"/>
    <w:rsid w:val="00757D18"/>
    <w:rsid w:val="00760F29"/>
    <w:rsid w:val="0076601F"/>
    <w:rsid w:val="00766C5A"/>
    <w:rsid w:val="00787D05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C79E1"/>
    <w:rsid w:val="007D1D56"/>
    <w:rsid w:val="007D4C57"/>
    <w:rsid w:val="007D7C2D"/>
    <w:rsid w:val="007F129F"/>
    <w:rsid w:val="007F2F18"/>
    <w:rsid w:val="007F6804"/>
    <w:rsid w:val="008037DC"/>
    <w:rsid w:val="0080554A"/>
    <w:rsid w:val="00805D41"/>
    <w:rsid w:val="008100BE"/>
    <w:rsid w:val="0081221B"/>
    <w:rsid w:val="008272EF"/>
    <w:rsid w:val="008318F7"/>
    <w:rsid w:val="00837DBA"/>
    <w:rsid w:val="00844651"/>
    <w:rsid w:val="0084526D"/>
    <w:rsid w:val="008610E7"/>
    <w:rsid w:val="00863B0F"/>
    <w:rsid w:val="008707EF"/>
    <w:rsid w:val="00876726"/>
    <w:rsid w:val="00880A0D"/>
    <w:rsid w:val="00883F73"/>
    <w:rsid w:val="008857A0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E1E"/>
    <w:rsid w:val="008C182E"/>
    <w:rsid w:val="008C19F7"/>
    <w:rsid w:val="008C2CEA"/>
    <w:rsid w:val="008C3C39"/>
    <w:rsid w:val="008D2A81"/>
    <w:rsid w:val="008E3E13"/>
    <w:rsid w:val="008F60FF"/>
    <w:rsid w:val="00911D8C"/>
    <w:rsid w:val="00913A85"/>
    <w:rsid w:val="00922CF4"/>
    <w:rsid w:val="009351C1"/>
    <w:rsid w:val="00936F49"/>
    <w:rsid w:val="00941D59"/>
    <w:rsid w:val="009452A8"/>
    <w:rsid w:val="009565CB"/>
    <w:rsid w:val="00956A65"/>
    <w:rsid w:val="00957382"/>
    <w:rsid w:val="00965794"/>
    <w:rsid w:val="00965D45"/>
    <w:rsid w:val="009765D7"/>
    <w:rsid w:val="0098208E"/>
    <w:rsid w:val="00984BCA"/>
    <w:rsid w:val="009863D9"/>
    <w:rsid w:val="0099067F"/>
    <w:rsid w:val="00991D5A"/>
    <w:rsid w:val="0099746F"/>
    <w:rsid w:val="009A0BB4"/>
    <w:rsid w:val="009A5F08"/>
    <w:rsid w:val="009B089C"/>
    <w:rsid w:val="009D1710"/>
    <w:rsid w:val="009D6CB8"/>
    <w:rsid w:val="009E248A"/>
    <w:rsid w:val="009F2C85"/>
    <w:rsid w:val="009F3EFC"/>
    <w:rsid w:val="009F4CFC"/>
    <w:rsid w:val="009F5E5E"/>
    <w:rsid w:val="00A014FE"/>
    <w:rsid w:val="00A1108B"/>
    <w:rsid w:val="00A146DE"/>
    <w:rsid w:val="00A203F6"/>
    <w:rsid w:val="00A23A7A"/>
    <w:rsid w:val="00A651B5"/>
    <w:rsid w:val="00A769FB"/>
    <w:rsid w:val="00A85538"/>
    <w:rsid w:val="00A906D1"/>
    <w:rsid w:val="00A9138F"/>
    <w:rsid w:val="00A92FE8"/>
    <w:rsid w:val="00A979C7"/>
    <w:rsid w:val="00AA47DE"/>
    <w:rsid w:val="00AA7E85"/>
    <w:rsid w:val="00AB016C"/>
    <w:rsid w:val="00AB4B32"/>
    <w:rsid w:val="00AB5B11"/>
    <w:rsid w:val="00AB77FC"/>
    <w:rsid w:val="00AC4F86"/>
    <w:rsid w:val="00AD1F36"/>
    <w:rsid w:val="00AD298F"/>
    <w:rsid w:val="00AD42AC"/>
    <w:rsid w:val="00AD7B92"/>
    <w:rsid w:val="00AE433D"/>
    <w:rsid w:val="00AF43F5"/>
    <w:rsid w:val="00AF5AD4"/>
    <w:rsid w:val="00AF76F7"/>
    <w:rsid w:val="00B04BA5"/>
    <w:rsid w:val="00B07036"/>
    <w:rsid w:val="00B07E5F"/>
    <w:rsid w:val="00B07FFC"/>
    <w:rsid w:val="00B102B4"/>
    <w:rsid w:val="00B10ABD"/>
    <w:rsid w:val="00B11FC1"/>
    <w:rsid w:val="00B16075"/>
    <w:rsid w:val="00B2391F"/>
    <w:rsid w:val="00B3101A"/>
    <w:rsid w:val="00B322F7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25BC"/>
    <w:rsid w:val="00B71B4A"/>
    <w:rsid w:val="00B848AA"/>
    <w:rsid w:val="00B86F7D"/>
    <w:rsid w:val="00B917A7"/>
    <w:rsid w:val="00BA01A3"/>
    <w:rsid w:val="00BA1279"/>
    <w:rsid w:val="00BB2B3E"/>
    <w:rsid w:val="00BB383E"/>
    <w:rsid w:val="00BB42E9"/>
    <w:rsid w:val="00BB5865"/>
    <w:rsid w:val="00BE1AAD"/>
    <w:rsid w:val="00BE48C2"/>
    <w:rsid w:val="00BF0DC0"/>
    <w:rsid w:val="00BF2637"/>
    <w:rsid w:val="00C113A7"/>
    <w:rsid w:val="00C2314A"/>
    <w:rsid w:val="00C3002C"/>
    <w:rsid w:val="00C34E0C"/>
    <w:rsid w:val="00C35A3A"/>
    <w:rsid w:val="00C377E5"/>
    <w:rsid w:val="00C378D6"/>
    <w:rsid w:val="00C4112F"/>
    <w:rsid w:val="00C414FA"/>
    <w:rsid w:val="00C47163"/>
    <w:rsid w:val="00C51A6B"/>
    <w:rsid w:val="00C568C7"/>
    <w:rsid w:val="00C67693"/>
    <w:rsid w:val="00C71EAC"/>
    <w:rsid w:val="00C77EF2"/>
    <w:rsid w:val="00C96D9E"/>
    <w:rsid w:val="00CA2C32"/>
    <w:rsid w:val="00CA514F"/>
    <w:rsid w:val="00CB12D4"/>
    <w:rsid w:val="00CC304F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21CF"/>
    <w:rsid w:val="00D03ADB"/>
    <w:rsid w:val="00D03C19"/>
    <w:rsid w:val="00D041A3"/>
    <w:rsid w:val="00D15B9B"/>
    <w:rsid w:val="00D20106"/>
    <w:rsid w:val="00D27B58"/>
    <w:rsid w:val="00D30573"/>
    <w:rsid w:val="00D335D1"/>
    <w:rsid w:val="00D33FF8"/>
    <w:rsid w:val="00D478F6"/>
    <w:rsid w:val="00D5071D"/>
    <w:rsid w:val="00D56120"/>
    <w:rsid w:val="00D57052"/>
    <w:rsid w:val="00D57642"/>
    <w:rsid w:val="00D6148C"/>
    <w:rsid w:val="00D640AB"/>
    <w:rsid w:val="00D64663"/>
    <w:rsid w:val="00D93341"/>
    <w:rsid w:val="00D95664"/>
    <w:rsid w:val="00D9592E"/>
    <w:rsid w:val="00D96E4D"/>
    <w:rsid w:val="00D974EE"/>
    <w:rsid w:val="00DA3D6F"/>
    <w:rsid w:val="00DA5D36"/>
    <w:rsid w:val="00DB2F07"/>
    <w:rsid w:val="00DB41AB"/>
    <w:rsid w:val="00DB63E1"/>
    <w:rsid w:val="00DB6E9A"/>
    <w:rsid w:val="00DD0217"/>
    <w:rsid w:val="00DD168A"/>
    <w:rsid w:val="00DD449F"/>
    <w:rsid w:val="00DD7212"/>
    <w:rsid w:val="00DE2666"/>
    <w:rsid w:val="00DE5CD3"/>
    <w:rsid w:val="00DF1429"/>
    <w:rsid w:val="00DF2B9E"/>
    <w:rsid w:val="00E119BF"/>
    <w:rsid w:val="00E14F9F"/>
    <w:rsid w:val="00E21F37"/>
    <w:rsid w:val="00E25410"/>
    <w:rsid w:val="00E27689"/>
    <w:rsid w:val="00E277C3"/>
    <w:rsid w:val="00E32597"/>
    <w:rsid w:val="00E34DCC"/>
    <w:rsid w:val="00E37586"/>
    <w:rsid w:val="00E40425"/>
    <w:rsid w:val="00E407B6"/>
    <w:rsid w:val="00E53042"/>
    <w:rsid w:val="00E55978"/>
    <w:rsid w:val="00E61A0B"/>
    <w:rsid w:val="00E63111"/>
    <w:rsid w:val="00E65258"/>
    <w:rsid w:val="00E70EB1"/>
    <w:rsid w:val="00E7446D"/>
    <w:rsid w:val="00E758AA"/>
    <w:rsid w:val="00E77149"/>
    <w:rsid w:val="00E805D2"/>
    <w:rsid w:val="00E86833"/>
    <w:rsid w:val="00E92982"/>
    <w:rsid w:val="00EA56C2"/>
    <w:rsid w:val="00EB0EB8"/>
    <w:rsid w:val="00EB3567"/>
    <w:rsid w:val="00EB3B6F"/>
    <w:rsid w:val="00EB754D"/>
    <w:rsid w:val="00EC1BB9"/>
    <w:rsid w:val="00EC2B5D"/>
    <w:rsid w:val="00EC40B7"/>
    <w:rsid w:val="00ED2347"/>
    <w:rsid w:val="00ED4F3F"/>
    <w:rsid w:val="00ED58FB"/>
    <w:rsid w:val="00EE2ED5"/>
    <w:rsid w:val="00EE3146"/>
    <w:rsid w:val="00EE5661"/>
    <w:rsid w:val="00EE5C43"/>
    <w:rsid w:val="00EF0079"/>
    <w:rsid w:val="00EF0300"/>
    <w:rsid w:val="00EF0790"/>
    <w:rsid w:val="00EF239B"/>
    <w:rsid w:val="00EF3E00"/>
    <w:rsid w:val="00EF4E6E"/>
    <w:rsid w:val="00EF617E"/>
    <w:rsid w:val="00F01560"/>
    <w:rsid w:val="00F04FB2"/>
    <w:rsid w:val="00F076ED"/>
    <w:rsid w:val="00F21ADC"/>
    <w:rsid w:val="00F34AF6"/>
    <w:rsid w:val="00F42030"/>
    <w:rsid w:val="00F613DE"/>
    <w:rsid w:val="00F64D9A"/>
    <w:rsid w:val="00F73160"/>
    <w:rsid w:val="00F75A4F"/>
    <w:rsid w:val="00F771DD"/>
    <w:rsid w:val="00F80C3E"/>
    <w:rsid w:val="00F81C22"/>
    <w:rsid w:val="00F866B8"/>
    <w:rsid w:val="00F93EBB"/>
    <w:rsid w:val="00F96F07"/>
    <w:rsid w:val="00FA004F"/>
    <w:rsid w:val="00FA4FF8"/>
    <w:rsid w:val="00FA53D3"/>
    <w:rsid w:val="00FA58CF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E5A97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table" w:styleId="ad">
    <w:name w:val="Table Grid"/>
    <w:basedOn w:val="a1"/>
    <w:rsid w:val="002B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Воронова Полина Александровна</cp:lastModifiedBy>
  <cp:revision>2</cp:revision>
  <dcterms:created xsi:type="dcterms:W3CDTF">2020-10-03T12:34:00Z</dcterms:created>
  <dcterms:modified xsi:type="dcterms:W3CDTF">2020-10-03T12:34:00Z</dcterms:modified>
</cp:coreProperties>
</file>